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spacing w:line="240" w:lineRule="auto"/>
        <w:rPr>
          <w:rFonts w:ascii="宋体" w:hAnsi="宋体" w:cs="楷体_GB2312"/>
          <w:color w:val="auto"/>
          <w:sz w:val="30"/>
          <w:szCs w:val="30"/>
        </w:rPr>
      </w:pPr>
    </w:p>
    <w:p>
      <w:pPr>
        <w:jc w:val="center"/>
        <w:rPr>
          <w:rFonts w:hint="eastAsia" w:ascii="宋体" w:hAnsi="宋体"/>
          <w:color w:val="auto"/>
          <w:sz w:val="110"/>
          <w:szCs w:val="110"/>
        </w:rPr>
      </w:pPr>
    </w:p>
    <w:p>
      <w:pPr>
        <w:jc w:val="center"/>
        <w:rPr>
          <w:rFonts w:hint="eastAsia" w:ascii="宋体" w:hAnsi="宋体"/>
          <w:color w:val="auto"/>
          <w:sz w:val="110"/>
          <w:szCs w:val="110"/>
        </w:rPr>
      </w:pPr>
      <w:r>
        <w:rPr>
          <w:rFonts w:hint="eastAsia" w:ascii="宋体" w:hAnsi="宋体"/>
          <w:color w:val="auto"/>
          <w:sz w:val="110"/>
          <w:szCs w:val="110"/>
        </w:rPr>
        <w:t>招 标 文 件</w:t>
      </w:r>
    </w:p>
    <w:p>
      <w:pPr>
        <w:pStyle w:val="18"/>
        <w:tabs>
          <w:tab w:val="right" w:leader="dot" w:pos="8296"/>
        </w:tabs>
        <w:jc w:val="both"/>
        <w:rPr>
          <w:rFonts w:hint="eastAsia"/>
          <w:b w:val="0"/>
          <w:bCs w:val="0"/>
          <w:color w:val="auto"/>
          <w:sz w:val="24"/>
          <w:szCs w:val="24"/>
          <w:lang w:val="en-US" w:eastAsia="zh-CN"/>
        </w:rPr>
      </w:pPr>
    </w:p>
    <w:p>
      <w:pPr>
        <w:rPr>
          <w:rFonts w:hint="eastAsia" w:ascii="宋体" w:hAnsi="宋体"/>
          <w:color w:val="auto"/>
          <w:sz w:val="24"/>
          <w:szCs w:val="24"/>
        </w:rPr>
      </w:pPr>
    </w:p>
    <w:p>
      <w:pPr>
        <w:tabs>
          <w:tab w:val="left" w:pos="420"/>
          <w:tab w:val="left" w:pos="2205"/>
        </w:tabs>
        <w:rPr>
          <w:rFonts w:hint="eastAsia" w:ascii="宋体" w:hAnsi="宋体"/>
          <w:color w:val="auto"/>
          <w:sz w:val="36"/>
          <w:szCs w:val="36"/>
        </w:rPr>
      </w:pPr>
    </w:p>
    <w:p>
      <w:pPr>
        <w:tabs>
          <w:tab w:val="left" w:pos="420"/>
          <w:tab w:val="left" w:pos="2205"/>
        </w:tabs>
        <w:rPr>
          <w:rFonts w:hint="eastAsia" w:ascii="宋体" w:hAnsi="宋体"/>
          <w:color w:val="auto"/>
          <w:sz w:val="36"/>
          <w:szCs w:val="36"/>
        </w:rPr>
      </w:pPr>
    </w:p>
    <w:p>
      <w:pPr>
        <w:tabs>
          <w:tab w:val="left" w:pos="420"/>
          <w:tab w:val="left" w:pos="2205"/>
        </w:tabs>
        <w:rPr>
          <w:rFonts w:hint="eastAsia" w:ascii="宋体" w:hAnsi="宋体"/>
          <w:color w:val="auto"/>
          <w:sz w:val="36"/>
          <w:szCs w:val="36"/>
        </w:rPr>
      </w:pPr>
    </w:p>
    <w:p>
      <w:pPr>
        <w:tabs>
          <w:tab w:val="left" w:pos="420"/>
          <w:tab w:val="left" w:pos="2205"/>
        </w:tabs>
        <w:spacing w:line="360" w:lineRule="auto"/>
        <w:rPr>
          <w:rFonts w:hint="eastAsia" w:ascii="宋体" w:hAnsi="宋体"/>
          <w:b/>
          <w:color w:val="auto"/>
          <w:sz w:val="36"/>
          <w:szCs w:val="36"/>
        </w:rPr>
      </w:pPr>
      <w:r>
        <w:rPr>
          <w:rFonts w:hint="eastAsia" w:ascii="宋体" w:hAnsi="宋体"/>
          <w:b/>
          <w:color w:val="auto"/>
          <w:sz w:val="36"/>
          <w:szCs w:val="36"/>
        </w:rPr>
        <w:t>项目编号</w:t>
      </w:r>
      <w:r>
        <w:rPr>
          <w:rFonts w:hint="eastAsia" w:ascii="宋体" w:hAnsi="宋体"/>
          <w:b/>
          <w:color w:val="auto"/>
          <w:sz w:val="36"/>
          <w:szCs w:val="36"/>
          <w:lang w:eastAsia="zh-CN"/>
        </w:rPr>
        <w:t>：</w:t>
      </w:r>
      <w:r>
        <w:rPr>
          <w:rStyle w:val="29"/>
          <w:rFonts w:hint="eastAsia" w:ascii="宋体" w:hAnsi="宋体" w:eastAsia="宋体" w:cs="宋体"/>
          <w:b/>
          <w:bCs/>
          <w:i w:val="0"/>
          <w:caps w:val="0"/>
          <w:color w:val="auto"/>
          <w:spacing w:val="0"/>
          <w:sz w:val="36"/>
          <w:szCs w:val="36"/>
          <w:u w:val="none"/>
          <w:shd w:val="clear" w:color="auto" w:fill="FFFFFF"/>
        </w:rPr>
        <w:t>110107242102000</w:t>
      </w:r>
      <w:r>
        <w:rPr>
          <w:rStyle w:val="29"/>
          <w:rFonts w:hint="eastAsia" w:ascii="宋体" w:hAnsi="宋体" w:cs="宋体"/>
          <w:b/>
          <w:bCs/>
          <w:i w:val="0"/>
          <w:caps w:val="0"/>
          <w:color w:val="auto"/>
          <w:spacing w:val="0"/>
          <w:sz w:val="36"/>
          <w:szCs w:val="36"/>
          <w:u w:val="none"/>
          <w:shd w:val="clear" w:color="auto" w:fill="FFFFFF"/>
          <w:lang w:val="en-US" w:eastAsia="zh-CN"/>
        </w:rPr>
        <w:t>12499</w:t>
      </w:r>
      <w:r>
        <w:rPr>
          <w:rStyle w:val="29"/>
          <w:rFonts w:hint="eastAsia" w:ascii="宋体" w:hAnsi="宋体" w:eastAsia="宋体" w:cs="宋体"/>
          <w:b/>
          <w:bCs/>
          <w:i w:val="0"/>
          <w:caps w:val="0"/>
          <w:color w:val="auto"/>
          <w:spacing w:val="0"/>
          <w:sz w:val="36"/>
          <w:szCs w:val="36"/>
          <w:u w:val="none"/>
          <w:shd w:val="clear" w:color="auto" w:fill="FFFFFF"/>
        </w:rPr>
        <w:t>-XM001</w:t>
      </w:r>
    </w:p>
    <w:p>
      <w:pPr>
        <w:spacing w:line="360" w:lineRule="auto"/>
        <w:ind w:left="1789" w:hanging="1789" w:hangingChars="495"/>
        <w:jc w:val="left"/>
        <w:rPr>
          <w:rFonts w:hint="eastAsia" w:ascii="宋体" w:hAnsi="宋体"/>
          <w:b/>
          <w:bCs/>
          <w:color w:val="auto"/>
          <w:sz w:val="36"/>
          <w:szCs w:val="36"/>
        </w:rPr>
      </w:pPr>
      <w:r>
        <w:rPr>
          <w:rFonts w:hint="eastAsia"/>
          <w:b/>
          <w:color w:val="auto"/>
          <w:sz w:val="36"/>
          <w:szCs w:val="36"/>
        </w:rPr>
        <w:t>项目名称：</w:t>
      </w:r>
      <w:r>
        <w:rPr>
          <w:rFonts w:hint="eastAsia" w:ascii="宋体" w:hAnsi="宋体"/>
          <w:b/>
          <w:bCs/>
          <w:color w:val="auto"/>
          <w:sz w:val="36"/>
          <w:szCs w:val="36"/>
        </w:rPr>
        <w:t>2024年石景山区中小学校计算机教室设施设备补充更新教具采购项目</w:t>
      </w:r>
    </w:p>
    <w:p>
      <w:pPr>
        <w:tabs>
          <w:tab w:val="left" w:pos="420"/>
          <w:tab w:val="left" w:pos="2205"/>
        </w:tabs>
        <w:jc w:val="center"/>
        <w:rPr>
          <w:rFonts w:hint="eastAsia" w:ascii="宋体" w:hAnsi="宋体"/>
          <w:color w:val="auto"/>
          <w:sz w:val="36"/>
          <w:szCs w:val="36"/>
        </w:rPr>
      </w:pPr>
    </w:p>
    <w:p>
      <w:pPr>
        <w:tabs>
          <w:tab w:val="left" w:pos="420"/>
          <w:tab w:val="left" w:pos="2205"/>
        </w:tabs>
        <w:jc w:val="center"/>
        <w:rPr>
          <w:rFonts w:hint="eastAsia" w:ascii="宋体" w:hAnsi="宋体"/>
          <w:color w:val="auto"/>
          <w:sz w:val="36"/>
          <w:szCs w:val="36"/>
        </w:rPr>
      </w:pPr>
    </w:p>
    <w:p>
      <w:pPr>
        <w:tabs>
          <w:tab w:val="left" w:pos="420"/>
          <w:tab w:val="left" w:pos="2205"/>
        </w:tabs>
        <w:jc w:val="center"/>
        <w:rPr>
          <w:rFonts w:hint="eastAsia" w:ascii="宋体" w:hAnsi="宋体"/>
          <w:color w:val="auto"/>
          <w:sz w:val="36"/>
          <w:szCs w:val="36"/>
        </w:rPr>
      </w:pPr>
    </w:p>
    <w:p>
      <w:pPr>
        <w:tabs>
          <w:tab w:val="left" w:pos="420"/>
          <w:tab w:val="left" w:pos="2205"/>
        </w:tabs>
        <w:jc w:val="center"/>
        <w:rPr>
          <w:rFonts w:hint="eastAsia" w:ascii="宋体" w:hAnsi="宋体"/>
          <w:color w:val="auto"/>
          <w:sz w:val="36"/>
          <w:szCs w:val="36"/>
        </w:rPr>
      </w:pPr>
    </w:p>
    <w:p>
      <w:pPr>
        <w:tabs>
          <w:tab w:val="left" w:pos="420"/>
          <w:tab w:val="left" w:pos="2205"/>
        </w:tabs>
        <w:jc w:val="center"/>
        <w:rPr>
          <w:rFonts w:hint="eastAsia" w:ascii="宋体" w:hAnsi="宋体"/>
          <w:color w:val="auto"/>
          <w:sz w:val="36"/>
          <w:szCs w:val="36"/>
        </w:rPr>
      </w:pPr>
    </w:p>
    <w:p>
      <w:pPr>
        <w:tabs>
          <w:tab w:val="left" w:pos="420"/>
          <w:tab w:val="left" w:pos="2205"/>
        </w:tabs>
        <w:jc w:val="center"/>
        <w:rPr>
          <w:rFonts w:hint="eastAsia" w:ascii="宋体" w:hAnsi="宋体"/>
          <w:b/>
          <w:color w:val="auto"/>
          <w:sz w:val="36"/>
          <w:szCs w:val="36"/>
        </w:rPr>
      </w:pPr>
      <w:r>
        <w:rPr>
          <w:rFonts w:hint="eastAsia" w:ascii="宋体" w:hAnsi="宋体"/>
          <w:b/>
          <w:color w:val="auto"/>
          <w:sz w:val="36"/>
          <w:szCs w:val="36"/>
        </w:rPr>
        <w:t>北京市石景山区政府采购中心</w:t>
      </w:r>
    </w:p>
    <w:p>
      <w:pPr>
        <w:tabs>
          <w:tab w:val="left" w:pos="420"/>
          <w:tab w:val="left" w:pos="2205"/>
        </w:tabs>
        <w:jc w:val="center"/>
        <w:rPr>
          <w:rFonts w:hint="eastAsia" w:ascii="宋体" w:hAnsi="宋体"/>
          <w:b/>
          <w:color w:val="auto"/>
          <w:sz w:val="36"/>
          <w:szCs w:val="36"/>
        </w:rPr>
      </w:pPr>
    </w:p>
    <w:p>
      <w:pPr>
        <w:tabs>
          <w:tab w:val="left" w:pos="420"/>
          <w:tab w:val="left" w:pos="2205"/>
        </w:tabs>
        <w:jc w:val="center"/>
        <w:rPr>
          <w:rFonts w:hint="eastAsia" w:ascii="宋体" w:hAnsi="宋体"/>
          <w:b/>
          <w:color w:val="auto"/>
          <w:sz w:val="36"/>
          <w:szCs w:val="36"/>
        </w:rPr>
      </w:pPr>
      <w:r>
        <w:rPr>
          <w:rFonts w:hint="eastAsia" w:ascii="宋体" w:hAnsi="宋体"/>
          <w:b/>
          <w:color w:val="auto"/>
          <w:sz w:val="36"/>
          <w:szCs w:val="36"/>
        </w:rPr>
        <w:t>二〇二</w:t>
      </w:r>
      <w:r>
        <w:rPr>
          <w:rFonts w:hint="eastAsia" w:ascii="宋体" w:hAnsi="宋体"/>
          <w:b/>
          <w:color w:val="auto"/>
          <w:sz w:val="36"/>
          <w:szCs w:val="36"/>
          <w:lang w:eastAsia="zh-CN"/>
        </w:rPr>
        <w:t>四</w:t>
      </w:r>
      <w:r>
        <w:rPr>
          <w:rFonts w:hint="eastAsia" w:ascii="宋体" w:hAnsi="宋体"/>
          <w:b/>
          <w:color w:val="auto"/>
          <w:sz w:val="36"/>
          <w:szCs w:val="36"/>
        </w:rPr>
        <w:t>年</w:t>
      </w:r>
      <w:r>
        <w:rPr>
          <w:rFonts w:hint="eastAsia" w:ascii="宋体" w:hAnsi="宋体"/>
          <w:b/>
          <w:color w:val="auto"/>
          <w:sz w:val="36"/>
          <w:szCs w:val="36"/>
          <w:lang w:eastAsia="zh-CN"/>
        </w:rPr>
        <w:t>十一</w:t>
      </w:r>
      <w:r>
        <w:rPr>
          <w:rFonts w:hint="eastAsia" w:ascii="宋体" w:hAnsi="宋体"/>
          <w:b/>
          <w:color w:val="auto"/>
          <w:sz w:val="36"/>
          <w:szCs w:val="36"/>
        </w:rPr>
        <w:t>月</w:t>
      </w:r>
    </w:p>
    <w:p>
      <w:pPr>
        <w:snapToGrid w:val="0"/>
        <w:spacing w:line="240" w:lineRule="auto"/>
        <w:jc w:val="center"/>
        <w:rPr>
          <w:rFonts w:hint="eastAsia" w:ascii="宋体" w:hAnsi="宋体" w:cs="宋体"/>
          <w:b/>
          <w:bCs/>
          <w:color w:val="auto"/>
          <w:kern w:val="44"/>
          <w:sz w:val="32"/>
          <w:szCs w:val="32"/>
        </w:rPr>
      </w:pPr>
    </w:p>
    <w:p>
      <w:pPr>
        <w:snapToGrid w:val="0"/>
        <w:spacing w:line="240" w:lineRule="auto"/>
        <w:jc w:val="center"/>
        <w:rPr>
          <w:rFonts w:hint="eastAsia" w:ascii="宋体" w:hAnsi="宋体" w:cs="宋体"/>
          <w:b/>
          <w:bCs/>
          <w:color w:val="auto"/>
          <w:kern w:val="44"/>
          <w:sz w:val="32"/>
          <w:szCs w:val="32"/>
        </w:rPr>
      </w:pPr>
    </w:p>
    <w:p>
      <w:pPr>
        <w:snapToGrid w:val="0"/>
        <w:spacing w:line="240" w:lineRule="auto"/>
        <w:jc w:val="center"/>
        <w:rPr>
          <w:rFonts w:hint="eastAsia" w:ascii="宋体" w:hAnsi="宋体" w:cs="宋体"/>
          <w:b/>
          <w:bCs/>
          <w:color w:val="auto"/>
          <w:kern w:val="44"/>
          <w:sz w:val="32"/>
          <w:szCs w:val="32"/>
        </w:rPr>
      </w:pPr>
    </w:p>
    <w:p>
      <w:pPr>
        <w:snapToGrid w:val="0"/>
        <w:spacing w:line="240" w:lineRule="auto"/>
        <w:jc w:val="center"/>
        <w:rPr>
          <w:rFonts w:ascii="宋体" w:hAnsi="宋体"/>
          <w:b/>
          <w:color w:val="0000FF"/>
          <w:sz w:val="32"/>
          <w:szCs w:val="32"/>
        </w:rPr>
      </w:pPr>
      <w:r>
        <w:rPr>
          <w:rFonts w:hint="eastAsia" w:ascii="宋体" w:hAnsi="宋体" w:cs="宋体"/>
          <w:b/>
          <w:bCs/>
          <w:color w:val="auto"/>
          <w:kern w:val="44"/>
          <w:sz w:val="32"/>
          <w:szCs w:val="32"/>
        </w:rPr>
        <w:t>目    录</w:t>
      </w:r>
    </w:p>
    <w:p>
      <w:pPr>
        <w:snapToGrid w:val="0"/>
        <w:spacing w:line="240" w:lineRule="auto"/>
        <w:jc w:val="both"/>
        <w:rPr>
          <w:rFonts w:ascii="宋体" w:hAnsi="宋体"/>
          <w:color w:val="0000FF"/>
          <w:sz w:val="21"/>
          <w:szCs w:val="21"/>
        </w:rPr>
      </w:pPr>
    </w:p>
    <w:p>
      <w:pPr>
        <w:pStyle w:val="18"/>
        <w:tabs>
          <w:tab w:val="right" w:leader="dot" w:pos="8721"/>
        </w:tabs>
        <w:spacing w:line="360" w:lineRule="auto"/>
        <w:rPr>
          <w:color w:val="0000FF"/>
          <w:kern w:val="2"/>
          <w:sz w:val="24"/>
          <w:szCs w:val="24"/>
        </w:rPr>
      </w:pPr>
      <w:r>
        <w:rPr>
          <w:rFonts w:hint="eastAsia" w:ascii="宋体" w:hAnsi="宋体" w:cs="微软雅黑"/>
          <w:color w:val="0000FF"/>
          <w:sz w:val="21"/>
          <w:szCs w:val="21"/>
        </w:rPr>
        <w:fldChar w:fldCharType="begin"/>
      </w:r>
      <w:r>
        <w:rPr>
          <w:rFonts w:hint="eastAsia" w:ascii="宋体" w:hAnsi="宋体" w:cs="微软雅黑"/>
          <w:color w:val="0000FF"/>
          <w:sz w:val="21"/>
          <w:szCs w:val="21"/>
        </w:rPr>
        <w:instrText xml:space="preserve">TOC \o "1-1" \h \u </w:instrText>
      </w:r>
      <w:r>
        <w:rPr>
          <w:rFonts w:hint="eastAsia" w:ascii="宋体" w:hAnsi="宋体" w:cs="微软雅黑"/>
          <w:color w:val="0000FF"/>
          <w:sz w:val="21"/>
          <w:szCs w:val="21"/>
        </w:rPr>
        <w:fldChar w:fldCharType="separate"/>
      </w:r>
      <w:r>
        <w:rPr>
          <w:color w:val="0000FF"/>
          <w:szCs w:val="24"/>
        </w:rPr>
        <w:fldChar w:fldCharType="begin"/>
      </w:r>
      <w:r>
        <w:rPr>
          <w:color w:val="0000FF"/>
          <w:szCs w:val="24"/>
        </w:rPr>
        <w:instrText xml:space="preserve"> HYPERLINK \l "_Toc466015310" </w:instrText>
      </w:r>
      <w:r>
        <w:rPr>
          <w:color w:val="0000FF"/>
          <w:szCs w:val="24"/>
        </w:rPr>
        <w:fldChar w:fldCharType="separate"/>
      </w:r>
      <w:r>
        <w:rPr>
          <w:rStyle w:val="29"/>
          <w:rFonts w:hint="eastAsia" w:ascii="宋体" w:hAnsi="宋体"/>
          <w:color w:val="0000FF"/>
          <w:sz w:val="24"/>
          <w:szCs w:val="24"/>
        </w:rPr>
        <w:t>第一部分 投标邀请</w:t>
      </w:r>
      <w:r>
        <w:rPr>
          <w:color w:val="0000FF"/>
          <w:sz w:val="24"/>
          <w:szCs w:val="24"/>
        </w:rPr>
        <w:tab/>
      </w:r>
      <w:r>
        <w:rPr>
          <w:color w:val="0000FF"/>
          <w:sz w:val="24"/>
          <w:szCs w:val="24"/>
        </w:rPr>
        <w:fldChar w:fldCharType="end"/>
      </w:r>
      <w:r>
        <w:rPr>
          <w:rFonts w:hint="eastAsia"/>
          <w:color w:val="0000FF"/>
          <w:sz w:val="24"/>
          <w:szCs w:val="24"/>
          <w:lang w:eastAsia="zh-CN"/>
        </w:rPr>
        <w:t>3</w:t>
      </w:r>
    </w:p>
    <w:p>
      <w:pPr>
        <w:pStyle w:val="18"/>
        <w:tabs>
          <w:tab w:val="right" w:leader="dot" w:pos="8721"/>
        </w:tabs>
        <w:spacing w:line="360" w:lineRule="auto"/>
        <w:rPr>
          <w:color w:val="0000FF"/>
          <w:kern w:val="2"/>
          <w:sz w:val="24"/>
          <w:szCs w:val="24"/>
        </w:rPr>
      </w:pPr>
      <w:r>
        <w:rPr>
          <w:color w:val="0000FF"/>
          <w:szCs w:val="24"/>
        </w:rPr>
        <w:fldChar w:fldCharType="begin"/>
      </w:r>
      <w:r>
        <w:rPr>
          <w:color w:val="0000FF"/>
          <w:szCs w:val="24"/>
        </w:rPr>
        <w:instrText xml:space="preserve">HYPERLINK \l "_Toc466015311"</w:instrText>
      </w:r>
      <w:r>
        <w:rPr>
          <w:color w:val="0000FF"/>
          <w:szCs w:val="24"/>
        </w:rPr>
        <w:fldChar w:fldCharType="separate"/>
      </w:r>
      <w:r>
        <w:rPr>
          <w:rStyle w:val="29"/>
          <w:rFonts w:hint="eastAsia" w:ascii="宋体" w:hAnsi="宋体"/>
          <w:color w:val="0000FF"/>
          <w:sz w:val="24"/>
          <w:szCs w:val="24"/>
        </w:rPr>
        <w:t>第二部分 投标人须知前附表</w:t>
      </w:r>
      <w:r>
        <w:rPr>
          <w:color w:val="0000FF"/>
          <w:sz w:val="24"/>
          <w:szCs w:val="24"/>
        </w:rPr>
        <w:tab/>
      </w:r>
      <w:r>
        <w:rPr>
          <w:color w:val="0000FF"/>
          <w:szCs w:val="24"/>
        </w:rPr>
        <w:fldChar w:fldCharType="end"/>
      </w:r>
      <w:r>
        <w:rPr>
          <w:rFonts w:hint="eastAsia"/>
          <w:color w:val="0000FF"/>
          <w:sz w:val="24"/>
          <w:szCs w:val="24"/>
          <w:lang w:eastAsia="zh-CN"/>
        </w:rPr>
        <w:t>7</w:t>
      </w:r>
    </w:p>
    <w:p>
      <w:pPr>
        <w:pStyle w:val="18"/>
        <w:tabs>
          <w:tab w:val="right" w:leader="dot" w:pos="8721"/>
        </w:tabs>
        <w:spacing w:line="360" w:lineRule="auto"/>
        <w:rPr>
          <w:color w:val="0000FF"/>
          <w:kern w:val="2"/>
          <w:sz w:val="24"/>
          <w:szCs w:val="24"/>
        </w:rPr>
      </w:pPr>
      <w:r>
        <w:rPr>
          <w:color w:val="0000FF"/>
          <w:szCs w:val="24"/>
        </w:rPr>
        <w:fldChar w:fldCharType="begin"/>
      </w:r>
      <w:r>
        <w:rPr>
          <w:color w:val="0000FF"/>
          <w:szCs w:val="24"/>
        </w:rPr>
        <w:instrText xml:space="preserve">HYPERLINK \l "_Toc466015312"</w:instrText>
      </w:r>
      <w:r>
        <w:rPr>
          <w:color w:val="0000FF"/>
          <w:szCs w:val="24"/>
        </w:rPr>
        <w:fldChar w:fldCharType="separate"/>
      </w:r>
      <w:r>
        <w:rPr>
          <w:rStyle w:val="29"/>
          <w:rFonts w:hint="eastAsia" w:ascii="宋体" w:hAnsi="宋体"/>
          <w:color w:val="0000FF"/>
          <w:sz w:val="24"/>
          <w:szCs w:val="24"/>
        </w:rPr>
        <w:t>第三部分 投标人须知</w:t>
      </w:r>
      <w:r>
        <w:rPr>
          <w:color w:val="0000FF"/>
          <w:sz w:val="24"/>
          <w:szCs w:val="24"/>
        </w:rPr>
        <w:tab/>
      </w:r>
      <w:r>
        <w:rPr>
          <w:color w:val="0000FF"/>
          <w:szCs w:val="24"/>
        </w:rPr>
        <w:fldChar w:fldCharType="end"/>
      </w:r>
      <w:r>
        <w:rPr>
          <w:rFonts w:hint="eastAsia"/>
          <w:color w:val="0000FF"/>
          <w:sz w:val="24"/>
          <w:szCs w:val="24"/>
          <w:lang w:eastAsia="zh-CN"/>
        </w:rPr>
        <w:t>9</w:t>
      </w:r>
    </w:p>
    <w:p>
      <w:pPr>
        <w:pStyle w:val="18"/>
        <w:tabs>
          <w:tab w:val="right" w:leader="dot" w:pos="8721"/>
        </w:tabs>
        <w:spacing w:line="360" w:lineRule="auto"/>
        <w:rPr>
          <w:color w:val="0000FF"/>
          <w:kern w:val="2"/>
          <w:sz w:val="24"/>
          <w:szCs w:val="24"/>
        </w:rPr>
      </w:pPr>
      <w:r>
        <w:rPr>
          <w:color w:val="0000FF"/>
          <w:szCs w:val="24"/>
        </w:rPr>
        <w:fldChar w:fldCharType="begin"/>
      </w:r>
      <w:r>
        <w:rPr>
          <w:color w:val="0000FF"/>
          <w:szCs w:val="24"/>
        </w:rPr>
        <w:instrText xml:space="preserve">HYPERLINK \l "_Toc466015313"</w:instrText>
      </w:r>
      <w:r>
        <w:rPr>
          <w:color w:val="0000FF"/>
          <w:szCs w:val="24"/>
        </w:rPr>
        <w:fldChar w:fldCharType="separate"/>
      </w:r>
      <w:r>
        <w:rPr>
          <w:rStyle w:val="29"/>
          <w:rFonts w:hint="eastAsia" w:ascii="宋体" w:hAnsi="宋体"/>
          <w:color w:val="0000FF"/>
          <w:sz w:val="24"/>
          <w:szCs w:val="24"/>
        </w:rPr>
        <w:t>第四部分 采</w:t>
      </w:r>
      <w:bookmarkStart w:id="0" w:name="_Hlt45033262"/>
      <w:bookmarkStart w:id="1" w:name="_Hlt42179902"/>
      <w:bookmarkStart w:id="2" w:name="_Hlt45033263"/>
      <w:r>
        <w:rPr>
          <w:rStyle w:val="29"/>
          <w:rFonts w:hint="eastAsia" w:ascii="宋体" w:hAnsi="宋体"/>
          <w:color w:val="0000FF"/>
          <w:sz w:val="24"/>
          <w:szCs w:val="24"/>
        </w:rPr>
        <w:t>购</w:t>
      </w:r>
      <w:bookmarkEnd w:id="0"/>
      <w:bookmarkEnd w:id="1"/>
      <w:bookmarkEnd w:id="2"/>
      <w:bookmarkStart w:id="3" w:name="_Hlt42177996"/>
      <w:bookmarkStart w:id="4" w:name="_Hlt42177995"/>
      <w:r>
        <w:rPr>
          <w:rStyle w:val="29"/>
          <w:rFonts w:hint="eastAsia" w:ascii="宋体" w:hAnsi="宋体"/>
          <w:color w:val="0000FF"/>
          <w:sz w:val="24"/>
          <w:szCs w:val="24"/>
        </w:rPr>
        <w:t>需</w:t>
      </w:r>
      <w:bookmarkEnd w:id="3"/>
      <w:bookmarkEnd w:id="4"/>
      <w:bookmarkStart w:id="5" w:name="_Hlt43459032"/>
      <w:r>
        <w:rPr>
          <w:rStyle w:val="29"/>
          <w:rFonts w:hint="eastAsia" w:ascii="宋体" w:hAnsi="宋体"/>
          <w:color w:val="0000FF"/>
          <w:sz w:val="24"/>
          <w:szCs w:val="24"/>
        </w:rPr>
        <w:t>求</w:t>
      </w:r>
      <w:bookmarkEnd w:id="5"/>
      <w:r>
        <w:rPr>
          <w:color w:val="0000FF"/>
          <w:sz w:val="24"/>
          <w:szCs w:val="24"/>
        </w:rPr>
        <w:tab/>
      </w:r>
      <w:r>
        <w:rPr>
          <w:color w:val="0000FF"/>
          <w:szCs w:val="24"/>
        </w:rPr>
        <w:fldChar w:fldCharType="end"/>
      </w:r>
      <w:r>
        <w:rPr>
          <w:rFonts w:hint="eastAsia"/>
          <w:color w:val="0000FF"/>
          <w:sz w:val="24"/>
          <w:szCs w:val="24"/>
          <w:lang w:eastAsia="zh-CN"/>
        </w:rPr>
        <w:t>1</w:t>
      </w:r>
      <w:r>
        <w:rPr>
          <w:rFonts w:hint="eastAsia"/>
          <w:color w:val="0000FF"/>
          <w:sz w:val="24"/>
          <w:szCs w:val="24"/>
          <w:lang w:val="en-US" w:eastAsia="zh-CN"/>
        </w:rPr>
        <w:t>9</w:t>
      </w:r>
    </w:p>
    <w:p>
      <w:pPr>
        <w:pStyle w:val="18"/>
        <w:tabs>
          <w:tab w:val="right" w:leader="dot" w:pos="8721"/>
        </w:tabs>
        <w:spacing w:line="360" w:lineRule="auto"/>
        <w:rPr>
          <w:color w:val="0000FF"/>
          <w:kern w:val="2"/>
          <w:sz w:val="21"/>
          <w:szCs w:val="21"/>
        </w:rPr>
      </w:pPr>
      <w:r>
        <w:rPr>
          <w:color w:val="0000FF"/>
          <w:szCs w:val="24"/>
        </w:rPr>
        <w:fldChar w:fldCharType="begin"/>
      </w:r>
      <w:r>
        <w:rPr>
          <w:color w:val="0000FF"/>
          <w:szCs w:val="24"/>
        </w:rPr>
        <w:instrText xml:space="preserve">HYPERLINK \l "_Toc466015314"</w:instrText>
      </w:r>
      <w:r>
        <w:rPr>
          <w:color w:val="0000FF"/>
          <w:szCs w:val="24"/>
        </w:rPr>
        <w:fldChar w:fldCharType="separate"/>
      </w:r>
      <w:r>
        <w:rPr>
          <w:rStyle w:val="29"/>
          <w:rFonts w:hint="eastAsia" w:ascii="宋体" w:hAnsi="宋体"/>
          <w:color w:val="0000FF"/>
          <w:sz w:val="24"/>
          <w:szCs w:val="24"/>
        </w:rPr>
        <w:t>第五部分 评标标准和</w:t>
      </w:r>
      <w:bookmarkStart w:id="6" w:name="_Hlt43452204"/>
      <w:bookmarkStart w:id="7" w:name="_Hlt43458265"/>
      <w:bookmarkStart w:id="8" w:name="_Hlt43458266"/>
      <w:r>
        <w:rPr>
          <w:rStyle w:val="29"/>
          <w:rFonts w:hint="eastAsia" w:ascii="宋体" w:hAnsi="宋体"/>
          <w:color w:val="0000FF"/>
          <w:sz w:val="24"/>
          <w:szCs w:val="24"/>
        </w:rPr>
        <w:t>评</w:t>
      </w:r>
      <w:bookmarkEnd w:id="6"/>
      <w:bookmarkEnd w:id="7"/>
      <w:bookmarkEnd w:id="8"/>
      <w:r>
        <w:rPr>
          <w:rStyle w:val="29"/>
          <w:rFonts w:hint="eastAsia" w:ascii="宋体" w:hAnsi="宋体"/>
          <w:color w:val="0000FF"/>
          <w:sz w:val="24"/>
          <w:szCs w:val="24"/>
        </w:rPr>
        <w:t>标方法</w:t>
      </w:r>
      <w:r>
        <w:rPr>
          <w:color w:val="0000FF"/>
          <w:sz w:val="24"/>
          <w:szCs w:val="24"/>
        </w:rPr>
        <w:tab/>
      </w:r>
      <w:r>
        <w:rPr>
          <w:color w:val="0000FF"/>
          <w:sz w:val="24"/>
          <w:szCs w:val="24"/>
        </w:rPr>
        <w:fldChar w:fldCharType="begin"/>
      </w:r>
      <w:r>
        <w:rPr>
          <w:color w:val="0000FF"/>
          <w:sz w:val="24"/>
          <w:szCs w:val="24"/>
        </w:rPr>
        <w:instrText xml:space="preserve"> PAGEREF _Toc466015314 \h </w:instrText>
      </w:r>
      <w:r>
        <w:rPr>
          <w:color w:val="0000FF"/>
          <w:sz w:val="24"/>
          <w:szCs w:val="24"/>
        </w:rPr>
        <w:fldChar w:fldCharType="separate"/>
      </w:r>
      <w:r>
        <w:rPr>
          <w:color w:val="0000FF"/>
          <w:sz w:val="24"/>
          <w:szCs w:val="24"/>
        </w:rPr>
        <w:t>91</w:t>
      </w:r>
      <w:r>
        <w:rPr>
          <w:color w:val="0000FF"/>
          <w:sz w:val="24"/>
          <w:szCs w:val="24"/>
        </w:rPr>
        <w:fldChar w:fldCharType="end"/>
      </w:r>
      <w:r>
        <w:rPr>
          <w:color w:val="0000FF"/>
          <w:szCs w:val="24"/>
        </w:rPr>
        <w:fldChar w:fldCharType="end"/>
      </w:r>
    </w:p>
    <w:p>
      <w:pPr>
        <w:pStyle w:val="18"/>
        <w:tabs>
          <w:tab w:val="right" w:leader="dot" w:pos="8721"/>
        </w:tabs>
        <w:spacing w:line="360" w:lineRule="auto"/>
        <w:rPr>
          <w:color w:val="0000FF"/>
          <w:kern w:val="2"/>
          <w:sz w:val="24"/>
          <w:szCs w:val="24"/>
        </w:rPr>
      </w:pPr>
      <w:r>
        <w:rPr>
          <w:color w:val="0000FF"/>
          <w:szCs w:val="24"/>
        </w:rPr>
        <w:fldChar w:fldCharType="begin"/>
      </w:r>
      <w:r>
        <w:rPr>
          <w:color w:val="0000FF"/>
          <w:szCs w:val="24"/>
        </w:rPr>
        <w:instrText xml:space="preserve">HYPERLINK \l "_Toc466015315"</w:instrText>
      </w:r>
      <w:r>
        <w:rPr>
          <w:color w:val="0000FF"/>
          <w:szCs w:val="24"/>
        </w:rPr>
        <w:fldChar w:fldCharType="separate"/>
      </w:r>
      <w:r>
        <w:rPr>
          <w:rStyle w:val="29"/>
          <w:rFonts w:hint="eastAsia" w:ascii="宋体" w:hAnsi="宋体"/>
          <w:color w:val="0000FF"/>
          <w:sz w:val="24"/>
          <w:szCs w:val="24"/>
        </w:rPr>
        <w:t>第六部分 政府采购合同</w:t>
      </w:r>
      <w:r>
        <w:rPr>
          <w:color w:val="0000FF"/>
          <w:sz w:val="24"/>
          <w:szCs w:val="24"/>
        </w:rPr>
        <w:tab/>
      </w:r>
      <w:r>
        <w:rPr>
          <w:rFonts w:hint="eastAsia"/>
          <w:color w:val="0000FF"/>
          <w:sz w:val="24"/>
          <w:szCs w:val="24"/>
          <w:lang w:val="en-US" w:eastAsia="zh-CN"/>
        </w:rPr>
        <w:t>95</w:t>
      </w:r>
      <w:r>
        <w:rPr>
          <w:color w:val="0000FF"/>
          <w:szCs w:val="24"/>
        </w:rPr>
        <w:fldChar w:fldCharType="end"/>
      </w:r>
    </w:p>
    <w:p>
      <w:pPr>
        <w:pStyle w:val="18"/>
        <w:tabs>
          <w:tab w:val="right" w:leader="dot" w:pos="8721"/>
        </w:tabs>
        <w:spacing w:line="360" w:lineRule="auto"/>
        <w:rPr>
          <w:color w:val="0000FF"/>
          <w:kern w:val="2"/>
          <w:sz w:val="24"/>
          <w:szCs w:val="24"/>
        </w:rPr>
      </w:pPr>
      <w:r>
        <w:rPr>
          <w:color w:val="0000FF"/>
          <w:szCs w:val="24"/>
        </w:rPr>
        <w:fldChar w:fldCharType="begin"/>
      </w:r>
      <w:r>
        <w:rPr>
          <w:color w:val="0000FF"/>
          <w:szCs w:val="24"/>
        </w:rPr>
        <w:instrText xml:space="preserve">HYPERLINK \l "_Toc466015317"</w:instrText>
      </w:r>
      <w:r>
        <w:rPr>
          <w:color w:val="0000FF"/>
          <w:szCs w:val="24"/>
        </w:rPr>
        <w:fldChar w:fldCharType="separate"/>
      </w:r>
      <w:r>
        <w:rPr>
          <w:rStyle w:val="29"/>
          <w:rFonts w:hint="eastAsia"/>
          <w:color w:val="0000FF"/>
          <w:sz w:val="24"/>
          <w:szCs w:val="24"/>
        </w:rPr>
        <w:t>第七部分</w:t>
      </w:r>
      <w:r>
        <w:rPr>
          <w:rStyle w:val="29"/>
          <w:rFonts w:hint="eastAsia" w:ascii="宋体" w:hAnsi="宋体"/>
          <w:color w:val="0000FF"/>
          <w:sz w:val="24"/>
          <w:szCs w:val="24"/>
        </w:rPr>
        <w:t xml:space="preserve"> 电子投标文件格式</w:t>
      </w:r>
      <w:r>
        <w:rPr>
          <w:color w:val="0000FF"/>
          <w:sz w:val="24"/>
          <w:szCs w:val="24"/>
        </w:rPr>
        <w:tab/>
      </w:r>
      <w:r>
        <w:rPr>
          <w:color w:val="0000FF"/>
          <w:szCs w:val="24"/>
        </w:rPr>
        <w:fldChar w:fldCharType="end"/>
      </w:r>
      <w:r>
        <w:rPr>
          <w:rFonts w:hint="eastAsia"/>
          <w:color w:val="0000FF"/>
          <w:sz w:val="24"/>
          <w:szCs w:val="24"/>
          <w:lang w:val="en-US" w:eastAsia="zh-CN"/>
        </w:rPr>
        <w:t>102</w:t>
      </w:r>
    </w:p>
    <w:p>
      <w:pPr>
        <w:snapToGrid w:val="0"/>
        <w:spacing w:line="400" w:lineRule="exact"/>
        <w:jc w:val="both"/>
        <w:rPr>
          <w:rFonts w:ascii="宋体" w:hAnsi="宋体" w:cs="微软雅黑"/>
          <w:color w:val="auto"/>
          <w:sz w:val="21"/>
          <w:szCs w:val="21"/>
        </w:rPr>
      </w:pPr>
      <w:r>
        <w:rPr>
          <w:rFonts w:hint="eastAsia" w:ascii="宋体" w:hAnsi="宋体" w:cs="微软雅黑"/>
          <w:color w:val="0000FF"/>
          <w:sz w:val="21"/>
          <w:szCs w:val="21"/>
        </w:rPr>
        <w:fldChar w:fldCharType="end"/>
      </w:r>
    </w:p>
    <w:p>
      <w:pPr>
        <w:snapToGrid w:val="0"/>
        <w:spacing w:line="400" w:lineRule="exact"/>
        <w:jc w:val="both"/>
        <w:rPr>
          <w:rFonts w:ascii="宋体" w:hAnsi="宋体" w:cs="微软雅黑"/>
          <w:color w:val="auto"/>
          <w:sz w:val="21"/>
          <w:szCs w:val="21"/>
        </w:rPr>
        <w:sectPr>
          <w:headerReference r:id="rId4" w:type="first"/>
          <w:headerReference r:id="rId3" w:type="default"/>
          <w:footerReference r:id="rId5" w:type="default"/>
          <w:footerReference r:id="rId6" w:type="even"/>
          <w:pgSz w:w="11907" w:h="16840"/>
          <w:pgMar w:top="1701" w:right="1588" w:bottom="1701" w:left="1588" w:header="851" w:footer="851" w:gutter="0"/>
          <w:pgNumType w:start="1"/>
          <w:cols w:space="720" w:num="1"/>
          <w:titlePg/>
          <w:docGrid w:type="lines" w:linePitch="312" w:charSpace="0"/>
        </w:sectPr>
      </w:pPr>
    </w:p>
    <w:p>
      <w:pPr>
        <w:pStyle w:val="48"/>
        <w:snapToGrid w:val="0"/>
        <w:spacing w:before="0" w:after="0"/>
        <w:ind w:left="3360" w:firstLine="480"/>
        <w:jc w:val="both"/>
        <w:rPr>
          <w:rFonts w:ascii="宋体" w:hAnsi="宋体"/>
          <w:color w:val="auto"/>
        </w:rPr>
      </w:pPr>
      <w:bookmarkStart w:id="9" w:name="_Toc466015310"/>
      <w:bookmarkStart w:id="10" w:name="_Toc27650"/>
      <w:bookmarkStart w:id="11" w:name="_Toc186274096"/>
      <w:r>
        <w:rPr>
          <w:rFonts w:hint="eastAsia" w:ascii="宋体" w:hAnsi="宋体"/>
          <w:color w:val="auto"/>
          <w:lang w:val="en-US" w:eastAsia="zh-CN"/>
        </w:rPr>
        <w:t xml:space="preserve">  </w:t>
      </w:r>
      <w:r>
        <w:rPr>
          <w:rFonts w:hint="eastAsia" w:ascii="宋体" w:hAnsi="宋体"/>
          <w:color w:val="auto"/>
        </w:rPr>
        <w:t>投标邀请</w:t>
      </w:r>
      <w:bookmarkEnd w:id="9"/>
      <w:bookmarkEnd w:id="10"/>
      <w:bookmarkEnd w:id="11"/>
    </w:p>
    <w:p>
      <w:pPr>
        <w:pStyle w:val="48"/>
        <w:numPr>
          <w:ilvl w:val="0"/>
          <w:numId w:val="0"/>
        </w:numPr>
        <w:snapToGrid w:val="0"/>
        <w:spacing w:before="0" w:after="0"/>
        <w:jc w:val="left"/>
        <w:rPr>
          <w:rFonts w:ascii="宋体" w:hAnsi="宋体"/>
          <w:color w:val="auto"/>
          <w:sz w:val="21"/>
          <w:szCs w:val="21"/>
        </w:rPr>
      </w:pPr>
    </w:p>
    <w:p>
      <w:pPr>
        <w:spacing w:line="360" w:lineRule="auto"/>
        <w:ind w:firstLine="480" w:firstLineChars="200"/>
        <w:rPr>
          <w:rFonts w:hint="eastAsia" w:ascii="宋体" w:hAnsi="宋体"/>
          <w:color w:val="auto"/>
          <w:sz w:val="24"/>
          <w:lang w:val="zh-CN"/>
        </w:rPr>
      </w:pPr>
      <w:r>
        <w:rPr>
          <w:rFonts w:hint="eastAsia" w:ascii="宋体" w:hAnsi="宋体"/>
          <w:color w:val="auto"/>
          <w:sz w:val="24"/>
          <w:lang w:val="zh-CN"/>
        </w:rPr>
        <w:t>北京市石景山区政府采购中心受</w:t>
      </w:r>
      <w:r>
        <w:rPr>
          <w:rFonts w:hint="eastAsia" w:ascii="Verdana" w:hAnsi="Verdana" w:cs="Arial"/>
          <w:color w:val="auto"/>
          <w:sz w:val="24"/>
          <w:szCs w:val="24"/>
        </w:rPr>
        <w:t>北京市石景山区教育委员会教育技术装备中心</w:t>
      </w:r>
      <w:r>
        <w:rPr>
          <w:rFonts w:hint="eastAsia" w:ascii="宋体" w:hAnsi="宋体"/>
          <w:color w:val="auto"/>
          <w:sz w:val="24"/>
          <w:lang w:val="zh-CN"/>
        </w:rPr>
        <w:t>的委托对</w:t>
      </w:r>
      <w:r>
        <w:rPr>
          <w:rFonts w:hint="eastAsia" w:ascii="宋体" w:hAnsi="宋体"/>
          <w:bCs/>
          <w:color w:val="auto"/>
          <w:sz w:val="24"/>
        </w:rPr>
        <w:t>2024年石景山区中小学校计算机教室设施设备补充更新教具采购项目</w:t>
      </w:r>
      <w:r>
        <w:rPr>
          <w:rFonts w:hint="eastAsia" w:ascii="宋体" w:hAnsi="宋体"/>
          <w:color w:val="auto"/>
          <w:sz w:val="24"/>
          <w:lang w:val="zh-CN"/>
        </w:rPr>
        <w:t>进行国内公开招标。欢迎符合本招标文件条件的投标人前来投标。</w:t>
      </w:r>
    </w:p>
    <w:p>
      <w:pPr>
        <w:pStyle w:val="16"/>
        <w:rPr>
          <w:rFonts w:hint="eastAsia"/>
          <w:lang w:val="zh-CN"/>
        </w:rPr>
      </w:pPr>
    </w:p>
    <w:p>
      <w:pPr>
        <w:spacing w:line="360" w:lineRule="auto"/>
        <w:rPr>
          <w:rFonts w:hint="eastAsia" w:ascii="宋体" w:hAnsi="宋体"/>
          <w:color w:val="auto"/>
          <w:sz w:val="24"/>
        </w:rPr>
      </w:pPr>
      <w:r>
        <w:rPr>
          <w:rFonts w:hint="eastAsia" w:ascii="宋体" w:hAnsi="宋体"/>
          <w:b/>
          <w:bCs/>
          <w:color w:val="auto"/>
          <w:sz w:val="24"/>
        </w:rPr>
        <w:t>一</w:t>
      </w:r>
      <w:r>
        <w:rPr>
          <w:rFonts w:hint="eastAsia" w:ascii="宋体" w:hAnsi="宋体"/>
          <w:b/>
          <w:color w:val="auto"/>
          <w:sz w:val="24"/>
        </w:rPr>
        <w:t>、</w:t>
      </w:r>
      <w:r>
        <w:rPr>
          <w:rFonts w:hint="eastAsia" w:ascii="宋体" w:hAnsi="宋体"/>
          <w:b/>
          <w:bCs/>
          <w:color w:val="auto"/>
          <w:sz w:val="24"/>
        </w:rPr>
        <w:t>项目编号：</w:t>
      </w:r>
      <w:r>
        <w:rPr>
          <w:rStyle w:val="29"/>
          <w:rFonts w:hint="eastAsia" w:ascii="宋体" w:hAnsi="宋体" w:eastAsia="宋体" w:cs="宋体"/>
          <w:b w:val="0"/>
          <w:bCs w:val="0"/>
          <w:i w:val="0"/>
          <w:caps w:val="0"/>
          <w:color w:val="auto"/>
          <w:spacing w:val="0"/>
          <w:sz w:val="24"/>
          <w:szCs w:val="24"/>
          <w:u w:val="none"/>
          <w:shd w:val="clear" w:color="auto" w:fill="FFFFFF"/>
        </w:rPr>
        <w:t>110107242102000</w:t>
      </w:r>
      <w:r>
        <w:rPr>
          <w:rStyle w:val="29"/>
          <w:rFonts w:hint="eastAsia" w:ascii="宋体" w:hAnsi="宋体" w:cs="宋体"/>
          <w:b w:val="0"/>
          <w:bCs w:val="0"/>
          <w:i w:val="0"/>
          <w:caps w:val="0"/>
          <w:color w:val="auto"/>
          <w:spacing w:val="0"/>
          <w:sz w:val="24"/>
          <w:szCs w:val="24"/>
          <w:u w:val="none"/>
          <w:shd w:val="clear" w:color="auto" w:fill="FFFFFF"/>
          <w:lang w:val="en-US" w:eastAsia="zh-CN"/>
        </w:rPr>
        <w:t>12499</w:t>
      </w:r>
      <w:r>
        <w:rPr>
          <w:rStyle w:val="29"/>
          <w:rFonts w:hint="eastAsia" w:ascii="宋体" w:hAnsi="宋体" w:eastAsia="宋体" w:cs="宋体"/>
          <w:b w:val="0"/>
          <w:bCs w:val="0"/>
          <w:i w:val="0"/>
          <w:caps w:val="0"/>
          <w:color w:val="auto"/>
          <w:spacing w:val="0"/>
          <w:sz w:val="24"/>
          <w:szCs w:val="24"/>
          <w:u w:val="none"/>
          <w:shd w:val="clear" w:color="auto" w:fill="FFFFFF"/>
        </w:rPr>
        <w:t>-XM001</w:t>
      </w:r>
    </w:p>
    <w:p>
      <w:pPr>
        <w:spacing w:line="360" w:lineRule="auto"/>
        <w:rPr>
          <w:rFonts w:hint="eastAsia" w:ascii="宋体" w:hAnsi="宋体"/>
          <w:color w:val="auto"/>
          <w:sz w:val="24"/>
        </w:rPr>
      </w:pPr>
      <w:r>
        <w:rPr>
          <w:rFonts w:hint="eastAsia" w:ascii="宋体" w:hAnsi="宋体"/>
          <w:b/>
          <w:bCs/>
          <w:color w:val="auto"/>
          <w:sz w:val="24"/>
        </w:rPr>
        <w:t>二、招标范围及形式：</w:t>
      </w:r>
      <w:r>
        <w:rPr>
          <w:rFonts w:hint="eastAsia" w:ascii="宋体" w:hAnsi="宋体"/>
          <w:color w:val="auto"/>
          <w:sz w:val="24"/>
        </w:rPr>
        <w:t>国内公开招标</w:t>
      </w:r>
    </w:p>
    <w:p>
      <w:pPr>
        <w:spacing w:line="360" w:lineRule="auto"/>
        <w:ind w:left="2243" w:right="-1248" w:rightChars="-520" w:hanging="2243" w:hangingChars="931"/>
        <w:rPr>
          <w:rFonts w:hint="eastAsia" w:ascii="宋体" w:hAnsi="宋体"/>
          <w:bCs/>
          <w:color w:val="auto"/>
          <w:sz w:val="24"/>
        </w:rPr>
      </w:pPr>
      <w:r>
        <w:rPr>
          <w:rFonts w:hint="eastAsia" w:ascii="宋体" w:hAnsi="宋体"/>
          <w:b/>
          <w:bCs/>
          <w:color w:val="auto"/>
          <w:sz w:val="24"/>
        </w:rPr>
        <w:t>三、招标项目名称：</w:t>
      </w:r>
      <w:r>
        <w:rPr>
          <w:rFonts w:hint="eastAsia" w:ascii="宋体" w:hAnsi="宋体"/>
          <w:bCs/>
          <w:color w:val="auto"/>
          <w:sz w:val="24"/>
        </w:rPr>
        <w:t>2024年石景山区中小学校计算机教室设施设备补充更新教具采购项目</w:t>
      </w:r>
    </w:p>
    <w:p>
      <w:pPr>
        <w:spacing w:line="360" w:lineRule="auto"/>
        <w:ind w:left="2135" w:hanging="2135" w:hangingChars="886"/>
        <w:rPr>
          <w:rFonts w:ascii="Verdana" w:hAnsi="Verdana" w:cs="Arial"/>
          <w:color w:val="auto"/>
          <w:sz w:val="24"/>
          <w:szCs w:val="24"/>
        </w:rPr>
      </w:pPr>
      <w:r>
        <w:rPr>
          <w:rFonts w:hint="eastAsia" w:ascii="宋体" w:hAnsi="宋体"/>
          <w:b/>
          <w:bCs/>
          <w:color w:val="auto"/>
          <w:sz w:val="24"/>
        </w:rPr>
        <w:t>四、</w:t>
      </w:r>
      <w:r>
        <w:rPr>
          <w:rFonts w:hint="eastAsia" w:ascii="宋体" w:hAnsi="宋体"/>
          <w:b/>
          <w:bCs/>
          <w:color w:val="auto"/>
          <w:sz w:val="24"/>
          <w:lang w:eastAsia="zh-CN"/>
        </w:rPr>
        <w:t>采购</w:t>
      </w:r>
      <w:r>
        <w:rPr>
          <w:rFonts w:hint="eastAsia" w:ascii="宋体" w:hAnsi="宋体"/>
          <w:b/>
          <w:bCs/>
          <w:color w:val="auto"/>
          <w:sz w:val="24"/>
        </w:rPr>
        <w:t>人名称：</w:t>
      </w:r>
      <w:r>
        <w:rPr>
          <w:rFonts w:hint="eastAsia" w:ascii="宋体" w:hAnsi="宋体"/>
          <w:bCs/>
          <w:color w:val="auto"/>
          <w:sz w:val="24"/>
        </w:rPr>
        <w:t>北京市石景山区教育委员会教育技术装备中心</w:t>
      </w:r>
    </w:p>
    <w:p>
      <w:pPr>
        <w:spacing w:line="360" w:lineRule="auto"/>
        <w:ind w:left="2135" w:hanging="2135" w:hangingChars="886"/>
        <w:rPr>
          <w:rFonts w:hint="eastAsia" w:ascii="宋体" w:hAnsi="宋体"/>
          <w:color w:val="auto"/>
          <w:sz w:val="24"/>
        </w:rPr>
      </w:pPr>
      <w:r>
        <w:rPr>
          <w:rFonts w:hint="eastAsia" w:ascii="宋体" w:hAnsi="宋体"/>
          <w:b/>
          <w:bCs/>
          <w:color w:val="auto"/>
          <w:sz w:val="24"/>
        </w:rPr>
        <w:t>五、</w:t>
      </w:r>
      <w:r>
        <w:rPr>
          <w:rFonts w:hint="eastAsia" w:ascii="宋体" w:hAnsi="宋体"/>
          <w:b/>
          <w:bCs/>
          <w:color w:val="auto"/>
          <w:sz w:val="24"/>
          <w:lang w:eastAsia="zh-CN"/>
        </w:rPr>
        <w:t>采购</w:t>
      </w:r>
      <w:r>
        <w:rPr>
          <w:rFonts w:hint="eastAsia" w:ascii="宋体" w:hAnsi="宋体"/>
          <w:b/>
          <w:bCs/>
          <w:color w:val="auto"/>
          <w:sz w:val="24"/>
        </w:rPr>
        <w:t>人地址：</w:t>
      </w:r>
      <w:r>
        <w:rPr>
          <w:rFonts w:hint="eastAsia" w:ascii="宋体" w:hAnsi="宋体"/>
          <w:bCs/>
          <w:color w:val="auto"/>
          <w:sz w:val="24"/>
        </w:rPr>
        <w:t>北京市石景山区西井三区北门西侧胡同内</w:t>
      </w:r>
    </w:p>
    <w:p>
      <w:pPr>
        <w:spacing w:line="360" w:lineRule="auto"/>
        <w:ind w:left="2135" w:hanging="2135" w:hangingChars="886"/>
        <w:rPr>
          <w:rFonts w:hint="eastAsia" w:ascii="宋体" w:hAnsi="宋体"/>
          <w:color w:val="auto"/>
          <w:sz w:val="24"/>
        </w:rPr>
      </w:pPr>
      <w:r>
        <w:rPr>
          <w:rFonts w:hint="eastAsia" w:ascii="宋体" w:hAnsi="宋体"/>
          <w:b/>
          <w:bCs/>
          <w:color w:val="auto"/>
          <w:sz w:val="24"/>
        </w:rPr>
        <w:t>六、</w:t>
      </w:r>
      <w:r>
        <w:rPr>
          <w:rFonts w:hint="eastAsia" w:ascii="宋体" w:hAnsi="宋体"/>
          <w:b/>
          <w:bCs/>
          <w:color w:val="auto"/>
          <w:sz w:val="24"/>
          <w:lang w:eastAsia="zh-CN"/>
        </w:rPr>
        <w:t>采购</w:t>
      </w:r>
      <w:r>
        <w:rPr>
          <w:rFonts w:hint="eastAsia" w:ascii="宋体" w:hAnsi="宋体"/>
          <w:b/>
          <w:bCs/>
          <w:color w:val="auto"/>
          <w:sz w:val="24"/>
        </w:rPr>
        <w:t>人联系方式：</w:t>
      </w:r>
      <w:r>
        <w:rPr>
          <w:rFonts w:hint="eastAsia" w:ascii="宋体" w:hAnsi="宋体"/>
          <w:color w:val="auto"/>
          <w:sz w:val="24"/>
          <w:lang w:eastAsia="zh-CN"/>
        </w:rPr>
        <w:t>尤轶</w:t>
      </w:r>
      <w:r>
        <w:rPr>
          <w:rFonts w:hint="eastAsia" w:ascii="宋体" w:hAnsi="宋体"/>
          <w:color w:val="auto"/>
          <w:sz w:val="24"/>
          <w:lang w:val="en-US" w:eastAsia="zh-CN"/>
        </w:rPr>
        <w:t>88963530</w:t>
      </w:r>
    </w:p>
    <w:p>
      <w:pPr>
        <w:spacing w:line="360" w:lineRule="auto"/>
        <w:ind w:left="482" w:hanging="482" w:hangingChars="200"/>
        <w:rPr>
          <w:rFonts w:hint="eastAsia" w:ascii="宋体" w:hAnsi="宋体"/>
          <w:color w:val="auto"/>
          <w:sz w:val="24"/>
        </w:rPr>
      </w:pPr>
      <w:r>
        <w:rPr>
          <w:rFonts w:hint="eastAsia" w:ascii="宋体" w:hAnsi="宋体"/>
          <w:b/>
          <w:bCs/>
          <w:color w:val="auto"/>
          <w:sz w:val="24"/>
        </w:rPr>
        <w:t>七、</w:t>
      </w:r>
      <w:r>
        <w:rPr>
          <w:rFonts w:hint="eastAsia" w:ascii="宋体" w:hAnsi="宋体"/>
          <w:b/>
          <w:bCs/>
          <w:color w:val="auto"/>
          <w:sz w:val="24"/>
          <w:lang w:eastAsia="zh-CN"/>
        </w:rPr>
        <w:t>采购</w:t>
      </w:r>
      <w:r>
        <w:rPr>
          <w:rFonts w:hint="eastAsia" w:ascii="宋体" w:hAnsi="宋体"/>
          <w:b/>
          <w:bCs/>
          <w:color w:val="auto"/>
          <w:sz w:val="24"/>
        </w:rPr>
        <w:t>代理机构全称：</w:t>
      </w:r>
      <w:r>
        <w:rPr>
          <w:rFonts w:hint="eastAsia" w:ascii="宋体" w:hAnsi="宋体"/>
          <w:color w:val="auto"/>
          <w:sz w:val="24"/>
        </w:rPr>
        <w:t>北京市石景山区政府采购中心</w:t>
      </w:r>
    </w:p>
    <w:p>
      <w:pPr>
        <w:spacing w:line="360" w:lineRule="auto"/>
        <w:rPr>
          <w:rFonts w:hint="eastAsia" w:ascii="宋体" w:hAnsi="宋体"/>
          <w:color w:val="auto"/>
          <w:sz w:val="24"/>
        </w:rPr>
      </w:pPr>
      <w:r>
        <w:rPr>
          <w:rFonts w:hint="eastAsia" w:ascii="宋体" w:hAnsi="宋体"/>
          <w:b/>
          <w:bCs/>
          <w:color w:val="auto"/>
          <w:sz w:val="24"/>
        </w:rPr>
        <w:t>八、</w:t>
      </w:r>
      <w:r>
        <w:rPr>
          <w:rFonts w:hint="eastAsia" w:ascii="宋体" w:hAnsi="宋体"/>
          <w:b/>
          <w:bCs/>
          <w:color w:val="auto"/>
          <w:sz w:val="24"/>
          <w:lang w:eastAsia="zh-CN"/>
        </w:rPr>
        <w:t>采购</w:t>
      </w:r>
      <w:r>
        <w:rPr>
          <w:rFonts w:hint="eastAsia" w:ascii="宋体" w:hAnsi="宋体"/>
          <w:b/>
          <w:bCs/>
          <w:color w:val="auto"/>
          <w:sz w:val="24"/>
        </w:rPr>
        <w:t>代理机构地址：</w:t>
      </w:r>
      <w:r>
        <w:rPr>
          <w:rFonts w:hint="eastAsia" w:ascii="宋体" w:hAnsi="宋体" w:cs="宋体"/>
          <w:color w:val="auto"/>
          <w:sz w:val="24"/>
        </w:rPr>
        <w:t>北京市石景山区京原西街6号院3号楼7层</w:t>
      </w:r>
    </w:p>
    <w:p>
      <w:pPr>
        <w:spacing w:line="360" w:lineRule="auto"/>
        <w:rPr>
          <w:rFonts w:hint="eastAsia" w:ascii="宋体" w:hAnsi="宋体"/>
          <w:color w:val="auto"/>
          <w:sz w:val="24"/>
        </w:rPr>
      </w:pPr>
      <w:r>
        <w:rPr>
          <w:rFonts w:hint="eastAsia" w:ascii="宋体" w:hAnsi="宋体"/>
          <w:b/>
          <w:bCs/>
          <w:color w:val="auto"/>
          <w:sz w:val="24"/>
        </w:rPr>
        <w:t>九、</w:t>
      </w:r>
      <w:r>
        <w:rPr>
          <w:rFonts w:hint="eastAsia" w:ascii="宋体" w:hAnsi="宋体"/>
          <w:b/>
          <w:bCs/>
          <w:color w:val="auto"/>
          <w:sz w:val="24"/>
          <w:lang w:eastAsia="zh-CN"/>
        </w:rPr>
        <w:t>采购</w:t>
      </w:r>
      <w:r>
        <w:rPr>
          <w:rFonts w:hint="eastAsia" w:ascii="宋体" w:hAnsi="宋体"/>
          <w:b/>
          <w:bCs/>
          <w:color w:val="auto"/>
          <w:sz w:val="24"/>
        </w:rPr>
        <w:t>代理机构联系方式：</w:t>
      </w:r>
      <w:r>
        <w:rPr>
          <w:rFonts w:hint="eastAsia" w:ascii="宋体" w:hAnsi="宋体"/>
          <w:color w:val="auto"/>
          <w:sz w:val="24"/>
        </w:rPr>
        <w:t>68816115</w:t>
      </w:r>
    </w:p>
    <w:p>
      <w:pPr>
        <w:spacing w:line="360" w:lineRule="auto"/>
        <w:rPr>
          <w:rFonts w:hint="eastAsia" w:ascii="宋体" w:hAnsi="宋体"/>
          <w:b/>
          <w:bCs/>
          <w:color w:val="auto"/>
          <w:sz w:val="24"/>
        </w:rPr>
      </w:pPr>
      <w:r>
        <w:rPr>
          <w:rFonts w:hint="eastAsia" w:ascii="宋体" w:hAnsi="宋体"/>
          <w:b/>
          <w:bCs/>
          <w:color w:val="auto"/>
          <w:sz w:val="24"/>
        </w:rPr>
        <w:t>十、招标内容及用途及投标人资格要求：</w:t>
      </w:r>
    </w:p>
    <w:p>
      <w:pPr>
        <w:tabs>
          <w:tab w:val="left" w:pos="360"/>
        </w:tabs>
        <w:spacing w:line="360" w:lineRule="auto"/>
        <w:ind w:firstLine="480" w:firstLineChars="200"/>
        <w:rPr>
          <w:rFonts w:hint="eastAsia" w:ascii="宋体" w:hAnsi="宋体"/>
          <w:color w:val="auto"/>
          <w:sz w:val="24"/>
        </w:rPr>
      </w:pPr>
      <w:r>
        <w:rPr>
          <w:rFonts w:hint="eastAsia" w:ascii="宋体" w:hAnsi="宋体"/>
          <w:color w:val="auto"/>
          <w:sz w:val="24"/>
        </w:rPr>
        <w:t>1、招标内容：</w:t>
      </w:r>
    </w:p>
    <w:p>
      <w:pPr>
        <w:pStyle w:val="16"/>
        <w:ind w:left="0" w:leftChars="0" w:right="-288" w:rightChars="-120" w:firstLine="960" w:firstLineChars="400"/>
        <w:rPr>
          <w:rFonts w:hint="eastAsia" w:ascii="宋体" w:hAnsi="宋体" w:cs="宋体"/>
          <w:bCs/>
          <w:color w:val="auto"/>
          <w:kern w:val="0"/>
          <w:sz w:val="24"/>
          <w:szCs w:val="24"/>
          <w:lang w:val="en-US" w:eastAsia="zh-CN"/>
        </w:rPr>
      </w:pPr>
      <w:r>
        <w:rPr>
          <w:rFonts w:hint="eastAsia"/>
          <w:color w:val="auto"/>
          <w:sz w:val="24"/>
          <w:szCs w:val="24"/>
          <w:lang w:val="en-US" w:eastAsia="zh-CN"/>
        </w:rPr>
        <w:t xml:space="preserve">第一包：炮厂小学机房                 </w:t>
      </w:r>
      <w:r>
        <w:rPr>
          <w:rFonts w:hint="eastAsia" w:ascii="宋体" w:hAnsi="宋体" w:cs="宋体"/>
          <w:bCs/>
          <w:color w:val="auto"/>
          <w:kern w:val="0"/>
          <w:sz w:val="24"/>
          <w:szCs w:val="24"/>
        </w:rPr>
        <w:t>预算控制金额：</w:t>
      </w:r>
      <w:r>
        <w:rPr>
          <w:rFonts w:hint="eastAsia" w:ascii="宋体" w:hAnsi="宋体" w:cs="宋体"/>
          <w:bCs/>
          <w:color w:val="auto"/>
          <w:kern w:val="0"/>
          <w:sz w:val="24"/>
          <w:szCs w:val="24"/>
          <w:lang w:val="en-US" w:eastAsia="zh-CN"/>
        </w:rPr>
        <w:t>370，311.5 元</w:t>
      </w:r>
    </w:p>
    <w:p>
      <w:pPr>
        <w:pStyle w:val="16"/>
        <w:ind w:left="0" w:leftChars="0" w:right="-288" w:rightChars="-120" w:firstLine="960" w:firstLineChars="400"/>
        <w:rPr>
          <w:rFonts w:hint="eastAsia" w:ascii="宋体" w:hAnsi="宋体" w:cs="宋体"/>
          <w:bCs/>
          <w:color w:val="auto"/>
          <w:kern w:val="0"/>
          <w:sz w:val="24"/>
          <w:szCs w:val="24"/>
          <w:lang w:val="en-US" w:eastAsia="zh-CN"/>
        </w:rPr>
      </w:pPr>
      <w:r>
        <w:rPr>
          <w:rFonts w:hint="eastAsia"/>
          <w:color w:val="auto"/>
          <w:sz w:val="24"/>
          <w:szCs w:val="24"/>
          <w:lang w:val="en-US" w:eastAsia="zh-CN"/>
        </w:rPr>
        <w:t xml:space="preserve">第二包：远洋学校机房                 </w:t>
      </w:r>
      <w:r>
        <w:rPr>
          <w:rFonts w:hint="eastAsia" w:ascii="宋体" w:hAnsi="宋体" w:cs="宋体"/>
          <w:bCs/>
          <w:color w:val="auto"/>
          <w:kern w:val="0"/>
          <w:sz w:val="24"/>
          <w:szCs w:val="24"/>
        </w:rPr>
        <w:t>预算控制金额：</w:t>
      </w:r>
      <w:r>
        <w:rPr>
          <w:rFonts w:hint="eastAsia" w:ascii="宋体" w:hAnsi="宋体" w:cs="宋体"/>
          <w:bCs/>
          <w:color w:val="auto"/>
          <w:kern w:val="0"/>
          <w:sz w:val="24"/>
          <w:szCs w:val="24"/>
          <w:lang w:val="en-US" w:eastAsia="zh-CN"/>
        </w:rPr>
        <w:t>485，204.74元</w:t>
      </w:r>
    </w:p>
    <w:p>
      <w:pPr>
        <w:pStyle w:val="16"/>
        <w:ind w:left="0" w:leftChars="0" w:right="-288" w:rightChars="-120" w:firstLine="960" w:firstLineChars="400"/>
        <w:rPr>
          <w:rFonts w:hint="eastAsia" w:ascii="宋体" w:hAnsi="宋体" w:cs="宋体"/>
          <w:bCs/>
          <w:color w:val="auto"/>
          <w:kern w:val="0"/>
          <w:sz w:val="24"/>
          <w:szCs w:val="24"/>
          <w:lang w:val="en-US" w:eastAsia="zh-CN"/>
        </w:rPr>
      </w:pPr>
      <w:r>
        <w:rPr>
          <w:rFonts w:hint="eastAsia"/>
          <w:color w:val="auto"/>
          <w:sz w:val="24"/>
          <w:szCs w:val="24"/>
          <w:lang w:val="en-US" w:eastAsia="zh-CN"/>
        </w:rPr>
        <w:t xml:space="preserve">第三包：京源学校机房                 </w:t>
      </w:r>
      <w:r>
        <w:rPr>
          <w:rFonts w:hint="eastAsia" w:ascii="宋体" w:hAnsi="宋体" w:cs="宋体"/>
          <w:bCs/>
          <w:color w:val="auto"/>
          <w:kern w:val="0"/>
          <w:sz w:val="24"/>
          <w:szCs w:val="24"/>
        </w:rPr>
        <w:t>预算控制金额：</w:t>
      </w:r>
      <w:r>
        <w:rPr>
          <w:rFonts w:hint="eastAsia" w:ascii="宋体" w:hAnsi="宋体" w:cs="宋体"/>
          <w:bCs/>
          <w:color w:val="auto"/>
          <w:kern w:val="0"/>
          <w:sz w:val="24"/>
          <w:szCs w:val="24"/>
          <w:lang w:val="en-US" w:eastAsia="zh-CN"/>
        </w:rPr>
        <w:t>652，907.1元</w:t>
      </w:r>
    </w:p>
    <w:p>
      <w:pPr>
        <w:pStyle w:val="16"/>
        <w:ind w:left="0" w:leftChars="0" w:right="-288" w:rightChars="-120" w:firstLine="960" w:firstLineChars="400"/>
        <w:rPr>
          <w:rFonts w:hint="eastAsia" w:ascii="宋体" w:hAnsi="宋体" w:cs="宋体"/>
          <w:bCs/>
          <w:color w:val="auto"/>
          <w:kern w:val="0"/>
          <w:sz w:val="24"/>
          <w:szCs w:val="24"/>
          <w:lang w:val="en-US" w:eastAsia="zh-CN"/>
        </w:rPr>
      </w:pPr>
      <w:r>
        <w:rPr>
          <w:rFonts w:hint="eastAsia"/>
          <w:color w:val="auto"/>
          <w:sz w:val="24"/>
          <w:szCs w:val="24"/>
          <w:lang w:val="en-US" w:eastAsia="zh-CN"/>
        </w:rPr>
        <w:t xml:space="preserve">第四包：莲石湖分校水泥厂校区机房     </w:t>
      </w:r>
      <w:r>
        <w:rPr>
          <w:rFonts w:hint="eastAsia" w:ascii="宋体" w:hAnsi="宋体" w:cs="宋体"/>
          <w:bCs/>
          <w:color w:val="auto"/>
          <w:kern w:val="0"/>
          <w:sz w:val="24"/>
          <w:szCs w:val="24"/>
        </w:rPr>
        <w:t>预算控制金额：</w:t>
      </w:r>
      <w:r>
        <w:rPr>
          <w:rFonts w:hint="eastAsia" w:ascii="宋体" w:hAnsi="宋体" w:cs="宋体"/>
          <w:bCs/>
          <w:color w:val="auto"/>
          <w:kern w:val="0"/>
          <w:sz w:val="24"/>
          <w:szCs w:val="24"/>
          <w:lang w:val="en-US" w:eastAsia="zh-CN"/>
        </w:rPr>
        <w:t>477，973.42元</w:t>
      </w:r>
    </w:p>
    <w:p>
      <w:pPr>
        <w:pStyle w:val="16"/>
        <w:ind w:left="0" w:leftChars="0" w:right="-288" w:rightChars="-120" w:firstLine="960" w:firstLineChars="400"/>
        <w:rPr>
          <w:rFonts w:hint="eastAsia" w:ascii="宋体" w:hAnsi="宋体" w:cs="宋体"/>
          <w:bCs/>
          <w:color w:val="auto"/>
          <w:kern w:val="0"/>
          <w:sz w:val="24"/>
          <w:szCs w:val="24"/>
          <w:lang w:val="en-US" w:eastAsia="zh-CN"/>
        </w:rPr>
      </w:pPr>
      <w:r>
        <w:rPr>
          <w:rFonts w:hint="eastAsia"/>
          <w:color w:val="auto"/>
          <w:sz w:val="24"/>
          <w:szCs w:val="24"/>
          <w:lang w:val="en-US" w:eastAsia="zh-CN"/>
        </w:rPr>
        <w:t xml:space="preserve">第五包：京源学校莲石湖分校机房       </w:t>
      </w:r>
      <w:r>
        <w:rPr>
          <w:rFonts w:hint="eastAsia" w:ascii="宋体" w:hAnsi="宋体" w:cs="宋体"/>
          <w:bCs/>
          <w:color w:val="auto"/>
          <w:kern w:val="0"/>
          <w:sz w:val="24"/>
          <w:szCs w:val="24"/>
        </w:rPr>
        <w:t>预算控制金额：</w:t>
      </w:r>
      <w:r>
        <w:rPr>
          <w:rFonts w:hint="eastAsia" w:ascii="宋体" w:hAnsi="宋体" w:cs="宋体"/>
          <w:bCs/>
          <w:color w:val="auto"/>
          <w:kern w:val="0"/>
          <w:sz w:val="24"/>
          <w:szCs w:val="24"/>
          <w:lang w:val="en-US" w:eastAsia="zh-CN"/>
        </w:rPr>
        <w:t>1，114，018.68元</w:t>
      </w:r>
    </w:p>
    <w:p>
      <w:pPr>
        <w:pStyle w:val="16"/>
        <w:ind w:left="0" w:leftChars="0" w:right="-288" w:rightChars="-120" w:firstLine="960" w:firstLineChars="400"/>
        <w:rPr>
          <w:rFonts w:hint="eastAsia" w:ascii="宋体" w:hAnsi="宋体" w:cs="宋体"/>
          <w:bCs/>
          <w:color w:val="auto"/>
          <w:kern w:val="0"/>
          <w:sz w:val="24"/>
          <w:szCs w:val="24"/>
          <w:lang w:val="en-US" w:eastAsia="zh-CN"/>
        </w:rPr>
      </w:pPr>
      <w:r>
        <w:rPr>
          <w:rFonts w:hint="eastAsia"/>
          <w:color w:val="auto"/>
          <w:sz w:val="24"/>
          <w:szCs w:val="24"/>
          <w:lang w:val="en-US" w:eastAsia="zh-CN"/>
        </w:rPr>
        <w:t xml:space="preserve">第六包：九中分校机房                 </w:t>
      </w:r>
      <w:r>
        <w:rPr>
          <w:rFonts w:hint="eastAsia" w:ascii="宋体" w:hAnsi="宋体" w:cs="宋体"/>
          <w:bCs/>
          <w:color w:val="auto"/>
          <w:kern w:val="0"/>
          <w:sz w:val="24"/>
          <w:szCs w:val="24"/>
        </w:rPr>
        <w:t>预算控制金额：</w:t>
      </w:r>
      <w:r>
        <w:rPr>
          <w:rFonts w:hint="eastAsia" w:ascii="宋体" w:hAnsi="宋体" w:cs="宋体"/>
          <w:bCs/>
          <w:color w:val="auto"/>
          <w:kern w:val="0"/>
          <w:sz w:val="24"/>
          <w:szCs w:val="24"/>
          <w:lang w:val="en-US" w:eastAsia="zh-CN"/>
        </w:rPr>
        <w:t>580，418.97元</w:t>
      </w:r>
    </w:p>
    <w:p>
      <w:pPr>
        <w:spacing w:line="360" w:lineRule="auto"/>
        <w:ind w:firstLine="480" w:firstLineChars="200"/>
        <w:rPr>
          <w:rFonts w:hint="eastAsia" w:ascii="宋体" w:hAnsi="宋体"/>
          <w:color w:val="auto"/>
          <w:sz w:val="24"/>
        </w:rPr>
      </w:pPr>
      <w:r>
        <w:rPr>
          <w:rFonts w:hint="eastAsia" w:ascii="宋体" w:hAnsi="宋体"/>
          <w:color w:val="auto"/>
          <w:sz w:val="24"/>
        </w:rPr>
        <w:t>2、投标人资格要求：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（一）具有独立承担民事责任的能力； </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（二）具有良好的商业信誉和健全的财务会计制度； </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（五）参加政府采购活动前三年内，在经营活动中没有重大违法记录； </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（六）法律、行政法规规定的其他条件； </w:t>
      </w:r>
    </w:p>
    <w:p>
      <w:pPr>
        <w:widowControl/>
        <w:spacing w:line="360" w:lineRule="auto"/>
        <w:ind w:left="1267" w:leftChars="228" w:hanging="720" w:hangingChars="300"/>
        <w:rPr>
          <w:rFonts w:hint="eastAsia" w:ascii="宋体" w:hAnsi="宋体"/>
          <w:color w:val="auto"/>
          <w:sz w:val="24"/>
        </w:rPr>
      </w:pPr>
      <w:r>
        <w:rPr>
          <w:rFonts w:hint="eastAsia" w:ascii="宋体" w:hAnsi="宋体" w:cs="宋体"/>
          <w:color w:val="auto"/>
          <w:sz w:val="24"/>
        </w:rPr>
        <w:t>（七）</w:t>
      </w:r>
      <w:r>
        <w:rPr>
          <w:rFonts w:hint="eastAsia" w:ascii="宋体" w:hAnsi="宋体"/>
          <w:color w:val="auto"/>
          <w:sz w:val="24"/>
        </w:rPr>
        <w:t>投标人被信用中国网站（www.creditchina.gov.cn）、中国政府采购网（www.ccgp.gov.cn）列入失信被执行人、重大税收违法案件当事人名单、政府采购严重违法失信行为记录名单的投标人，不得参与本项目的政府采购活动；</w:t>
      </w:r>
    </w:p>
    <w:p>
      <w:pPr>
        <w:widowControl/>
        <w:spacing w:line="360" w:lineRule="auto"/>
        <w:ind w:left="1027" w:leftChars="228" w:hanging="480" w:hangingChars="200"/>
        <w:rPr>
          <w:rFonts w:hint="eastAsia" w:ascii="宋体" w:hAnsi="宋体" w:cs="宋体"/>
          <w:color w:val="auto"/>
          <w:sz w:val="24"/>
        </w:rPr>
      </w:pPr>
      <w:r>
        <w:rPr>
          <w:rFonts w:hint="eastAsia" w:ascii="宋体" w:hAnsi="宋体" w:cs="宋体"/>
          <w:color w:val="auto"/>
          <w:sz w:val="24"/>
        </w:rPr>
        <w:t>（八）本次招标项目不接受联合体投标;</w:t>
      </w:r>
    </w:p>
    <w:p>
      <w:pPr>
        <w:widowControl/>
        <w:spacing w:line="360" w:lineRule="auto"/>
        <w:ind w:left="1027" w:leftChars="228" w:hanging="480" w:hangingChars="200"/>
        <w:rPr>
          <w:rFonts w:hint="eastAsia" w:ascii="宋体" w:hAnsi="宋体" w:cs="宋体"/>
          <w:color w:val="auto"/>
          <w:sz w:val="24"/>
        </w:rPr>
      </w:pPr>
      <w:r>
        <w:rPr>
          <w:rFonts w:hint="eastAsia" w:ascii="宋体" w:hAnsi="宋体" w:cs="宋体"/>
          <w:color w:val="auto"/>
          <w:sz w:val="24"/>
        </w:rPr>
        <w:t>（九）本项目为</w:t>
      </w:r>
      <w:r>
        <w:rPr>
          <w:rFonts w:hint="eastAsia" w:ascii="宋体" w:hAnsi="宋体" w:cs="宋体"/>
          <w:color w:val="auto"/>
          <w:sz w:val="24"/>
          <w:lang w:eastAsia="zh-CN"/>
        </w:rPr>
        <w:t>非</w:t>
      </w:r>
      <w:r>
        <w:rPr>
          <w:rFonts w:hint="eastAsia" w:ascii="宋体" w:hAnsi="宋体" w:cs="宋体"/>
          <w:color w:val="auto"/>
          <w:sz w:val="24"/>
        </w:rPr>
        <w:t>专门面向中小企业采购。</w:t>
      </w:r>
    </w:p>
    <w:p>
      <w:pPr>
        <w:widowControl/>
        <w:spacing w:line="360" w:lineRule="auto"/>
        <w:rPr>
          <w:rFonts w:hint="eastAsia" w:ascii="宋体" w:hAnsi="宋体" w:cs="宋体"/>
          <w:color w:val="0000FF"/>
          <w:sz w:val="24"/>
        </w:rPr>
      </w:pPr>
      <w:r>
        <w:rPr>
          <w:rFonts w:hint="eastAsia" w:ascii="宋体" w:hAnsi="宋体"/>
          <w:b/>
          <w:bCs/>
          <w:color w:val="auto"/>
          <w:sz w:val="24"/>
        </w:rPr>
        <w:t>十一、</w:t>
      </w:r>
      <w:r>
        <w:rPr>
          <w:rFonts w:hint="eastAsia" w:ascii="宋体" w:hAnsi="宋体" w:cs="宋体"/>
          <w:b/>
          <w:color w:val="auto"/>
          <w:sz w:val="24"/>
        </w:rPr>
        <w:t>招标文件获得方式：（</w:t>
      </w:r>
      <w:r>
        <w:rPr>
          <w:rStyle w:val="26"/>
          <w:rFonts w:hint="eastAsia" w:ascii="宋体" w:hAnsi="宋体" w:cs="宋体"/>
          <w:color w:val="auto"/>
          <w:sz w:val="24"/>
          <w:shd w:val="clear" w:color="auto" w:fill="FFFFFF"/>
        </w:rPr>
        <w:t>免费下载</w:t>
      </w:r>
      <w:r>
        <w:rPr>
          <w:rFonts w:hint="eastAsia" w:ascii="宋体" w:hAnsi="宋体" w:cs="宋体"/>
          <w:b/>
          <w:color w:val="auto"/>
          <w:sz w:val="24"/>
        </w:rPr>
        <w:t>）</w:t>
      </w:r>
      <w:r>
        <w:rPr>
          <w:rFonts w:hint="eastAsia" w:ascii="宋体" w:hAnsi="宋体" w:cs="宋体"/>
          <w:color w:val="auto"/>
          <w:sz w:val="24"/>
        </w:rPr>
        <w:br w:type="textWrapping"/>
      </w:r>
      <w:r>
        <w:rPr>
          <w:rFonts w:hint="eastAsia" w:ascii="宋体" w:hAnsi="宋体" w:cs="宋体"/>
          <w:color w:val="auto"/>
          <w:sz w:val="24"/>
          <w:lang w:eastAsia="zh-CN"/>
        </w:rPr>
        <w:t>获取</w:t>
      </w:r>
      <w:r>
        <w:rPr>
          <w:rFonts w:hint="eastAsia" w:ascii="宋体" w:hAnsi="宋体" w:cs="宋体"/>
          <w:color w:val="auto"/>
          <w:sz w:val="24"/>
        </w:rPr>
        <w:t>时间：202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15</w:t>
      </w:r>
      <w:r>
        <w:rPr>
          <w:rFonts w:hint="eastAsia" w:ascii="宋体" w:hAnsi="宋体" w:cs="宋体"/>
          <w:color w:val="auto"/>
          <w:sz w:val="24"/>
        </w:rPr>
        <w:t>日至202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21</w:t>
      </w:r>
      <w:r>
        <w:rPr>
          <w:rFonts w:hint="eastAsia" w:ascii="宋体" w:hAnsi="宋体" w:cs="宋体"/>
          <w:color w:val="auto"/>
          <w:sz w:val="24"/>
        </w:rPr>
        <w:t>日</w:t>
      </w:r>
    </w:p>
    <w:p>
      <w:pPr>
        <w:widowControl/>
        <w:spacing w:line="360" w:lineRule="auto"/>
        <w:rPr>
          <w:rFonts w:hint="eastAsia" w:ascii="宋体" w:hAnsi="宋体" w:eastAsia="宋体" w:cs="宋体"/>
          <w:color w:val="0000FF"/>
          <w:sz w:val="24"/>
        </w:rPr>
      </w:pPr>
      <w:r>
        <w:rPr>
          <w:rFonts w:hint="eastAsia" w:ascii="宋体" w:hAnsi="宋体" w:eastAsia="宋体" w:cs="宋体"/>
          <w:color w:val="auto"/>
          <w:sz w:val="24"/>
        </w:rPr>
        <w:t>售价及获取方式：免费下载</w:t>
      </w:r>
      <w:r>
        <w:rPr>
          <w:rFonts w:hint="eastAsia" w:ascii="宋体" w:hAnsi="宋体" w:eastAsia="宋体" w:cs="宋体"/>
          <w:color w:val="auto"/>
          <w:sz w:val="24"/>
          <w:lang w:eastAsia="zh-CN"/>
        </w:rPr>
        <w:t>，供应商使用 CA 数字证书或电子营业执照登录北京市政府采购电子交易平台获取电子招标文件</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（1）办理CA认证证书或电子营业执照：登录北京市政府采购电子交易平台（</w:t>
      </w:r>
      <w:r>
        <w:rPr>
          <w:rFonts w:hint="eastAsia" w:ascii="宋体" w:hAnsi="宋体" w:eastAsia="宋体" w:cs="宋体"/>
          <w:sz w:val="24"/>
        </w:rPr>
        <w:t>http://zbcg-bjzc.zhongcy.com/bjczj-portal-site/index.html#/home</w:t>
      </w:r>
      <w:r>
        <w:rPr>
          <w:rFonts w:hint="eastAsia" w:ascii="宋体" w:hAnsi="宋体" w:eastAsia="宋体" w:cs="宋体"/>
          <w:b w:val="0"/>
          <w:bCs w:val="0"/>
          <w:sz w:val="24"/>
          <w:szCs w:val="24"/>
          <w:lang w:val="en-US" w:eastAsia="zh-CN"/>
        </w:rPr>
        <w:t>）查阅 “用户指南”—“操作指南”—“市场主体CA办理操作流程指引”，或“电子营业执照使用指南”，按照程序要求办理。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i w:val="0"/>
          <w:caps w:val="0"/>
          <w:color w:val="000000"/>
          <w:spacing w:val="0"/>
          <w:sz w:val="24"/>
          <w:szCs w:val="24"/>
          <w:lang w:eastAsia="zh-CN"/>
        </w:rPr>
        <w:t>（</w:t>
      </w:r>
      <w:r>
        <w:rPr>
          <w:rFonts w:hint="eastAsia" w:ascii="宋体" w:hAnsi="宋体" w:eastAsia="宋体" w:cs="宋体"/>
          <w:b w:val="0"/>
          <w:i w:val="0"/>
          <w:caps w:val="0"/>
          <w:color w:val="000000"/>
          <w:spacing w:val="0"/>
          <w:sz w:val="24"/>
          <w:szCs w:val="24"/>
          <w:lang w:val="en-US" w:eastAsia="zh-CN"/>
        </w:rPr>
        <w:t>2</w:t>
      </w:r>
      <w:r>
        <w:rPr>
          <w:rFonts w:hint="eastAsia" w:ascii="宋体" w:hAnsi="宋体" w:eastAsia="宋体" w:cs="宋体"/>
          <w:b w:val="0"/>
          <w:i w:val="0"/>
          <w:caps w:val="0"/>
          <w:color w:val="000000"/>
          <w:spacing w:val="0"/>
          <w:sz w:val="24"/>
          <w:szCs w:val="24"/>
          <w:lang w:eastAsia="zh-CN"/>
        </w:rPr>
        <w:t>）</w:t>
      </w:r>
      <w:r>
        <w:rPr>
          <w:rFonts w:hint="eastAsia" w:ascii="宋体" w:hAnsi="宋体" w:eastAsia="宋体" w:cs="宋体"/>
          <w:b w:val="0"/>
          <w:i w:val="0"/>
          <w:caps w:val="0"/>
          <w:color w:val="000000"/>
          <w:spacing w:val="0"/>
          <w:sz w:val="24"/>
          <w:szCs w:val="24"/>
        </w:rPr>
        <w:t>证书驱动下载：北京市政府采购电子交易平台“用户指南”—“工具下载”—“招标采购系统文件驱动安装包”</w:t>
      </w:r>
      <w:r>
        <w:rPr>
          <w:rFonts w:hint="eastAsia" w:ascii="宋体" w:hAnsi="宋体" w:eastAsia="宋体" w:cs="宋体"/>
          <w:b w:val="0"/>
          <w:i w:val="0"/>
          <w:caps w:val="0"/>
          <w:color w:val="000000"/>
          <w:spacing w:val="0"/>
          <w:sz w:val="24"/>
          <w:szCs w:val="24"/>
          <w:lang w:eastAsia="zh-CN"/>
        </w:rPr>
        <w:t>或“电子营业执照驱动程序安装包”</w:t>
      </w:r>
      <w:r>
        <w:rPr>
          <w:rFonts w:hint="eastAsia" w:ascii="宋体" w:hAnsi="宋体" w:eastAsia="宋体" w:cs="宋体"/>
          <w:b w:val="0"/>
          <w:i w:val="0"/>
          <w:caps w:val="0"/>
          <w:color w:val="000000"/>
          <w:spacing w:val="0"/>
          <w:sz w:val="24"/>
          <w:szCs w:val="24"/>
        </w:rPr>
        <w:t>下载相关驱动。</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right="0" w:rightChars="0"/>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bCs w:val="0"/>
          <w:sz w:val="24"/>
          <w:szCs w:val="24"/>
          <w:lang w:val="en-US" w:eastAsia="zh-CN"/>
        </w:rPr>
        <w:t>（3）投标人</w:t>
      </w:r>
      <w:r>
        <w:rPr>
          <w:rFonts w:hint="eastAsia" w:ascii="宋体" w:hAnsi="宋体" w:eastAsia="宋体" w:cs="宋体"/>
          <w:b w:val="0"/>
          <w:i w:val="0"/>
          <w:caps w:val="0"/>
          <w:color w:val="000000"/>
          <w:spacing w:val="0"/>
          <w:sz w:val="24"/>
          <w:szCs w:val="24"/>
        </w:rPr>
        <w:t>持</w:t>
      </w:r>
      <w:r>
        <w:rPr>
          <w:rFonts w:hint="eastAsia" w:ascii="宋体" w:hAnsi="宋体" w:eastAsia="宋体" w:cs="宋体"/>
          <w:b w:val="0"/>
          <w:i w:val="0"/>
          <w:caps w:val="0"/>
          <w:color w:val="000000"/>
          <w:spacing w:val="0"/>
          <w:sz w:val="24"/>
          <w:szCs w:val="24"/>
          <w:lang w:val="en-US"/>
        </w:rPr>
        <w:t>CA</w:t>
      </w:r>
      <w:r>
        <w:rPr>
          <w:rFonts w:hint="eastAsia" w:ascii="宋体" w:hAnsi="宋体" w:eastAsia="宋体" w:cs="宋体"/>
          <w:b w:val="0"/>
          <w:i w:val="0"/>
          <w:caps w:val="0"/>
          <w:color w:val="000000"/>
          <w:spacing w:val="0"/>
          <w:sz w:val="24"/>
          <w:szCs w:val="24"/>
        </w:rPr>
        <w:t>数字证书</w:t>
      </w:r>
      <w:r>
        <w:rPr>
          <w:rFonts w:hint="eastAsia" w:ascii="宋体" w:hAnsi="宋体" w:eastAsia="宋体" w:cs="宋体"/>
          <w:b w:val="0"/>
          <w:i w:val="0"/>
          <w:caps w:val="0"/>
          <w:color w:val="000000"/>
          <w:spacing w:val="0"/>
          <w:sz w:val="24"/>
          <w:szCs w:val="24"/>
          <w:lang w:eastAsia="zh-CN"/>
        </w:rPr>
        <w:t>或电子营业执照</w:t>
      </w:r>
      <w:r>
        <w:rPr>
          <w:rFonts w:hint="eastAsia" w:ascii="宋体" w:hAnsi="宋体" w:eastAsia="宋体" w:cs="宋体"/>
          <w:b w:val="0"/>
          <w:bCs w:val="0"/>
          <w:sz w:val="24"/>
          <w:szCs w:val="24"/>
          <w:lang w:val="en-US" w:eastAsia="zh-CN"/>
        </w:rPr>
        <w:t>按照</w:t>
      </w:r>
      <w:r>
        <w:rPr>
          <w:rFonts w:hint="eastAsia"/>
          <w:sz w:val="24"/>
          <w:szCs w:val="24"/>
        </w:rPr>
        <w:t>北京市政府采购电子交易平台“用户指南”—“操作指南”—“市场主体注册入库操作流程指引”</w:t>
      </w:r>
      <w:r>
        <w:rPr>
          <w:rFonts w:hint="eastAsia"/>
          <w:sz w:val="24"/>
          <w:szCs w:val="24"/>
          <w:lang w:eastAsia="zh-CN"/>
        </w:rPr>
        <w:t>或“电子营业执照使用指南”</w:t>
      </w:r>
      <w:r>
        <w:rPr>
          <w:rFonts w:hint="eastAsia"/>
          <w:sz w:val="24"/>
          <w:szCs w:val="24"/>
        </w:rPr>
        <w:t>进行自助注册绑定</w:t>
      </w:r>
      <w:r>
        <w:rPr>
          <w:rFonts w:hint="eastAsia"/>
          <w:sz w:val="24"/>
          <w:szCs w:val="24"/>
          <w:lang w:eastAsia="zh-CN"/>
        </w:rPr>
        <w:t>，注册完成后</w:t>
      </w:r>
      <w:r>
        <w:rPr>
          <w:rFonts w:hint="eastAsia" w:ascii="宋体" w:hAnsi="宋体" w:eastAsia="宋体" w:cs="宋体"/>
          <w:b w:val="0"/>
          <w:i w:val="0"/>
          <w:caps w:val="0"/>
          <w:color w:val="000000"/>
          <w:spacing w:val="0"/>
          <w:sz w:val="24"/>
          <w:szCs w:val="24"/>
        </w:rPr>
        <w:t>登录北京市政府采购电子交易平台免费获取电子版招标文件。</w:t>
      </w:r>
    </w:p>
    <w:p>
      <w:pPr>
        <w:widowControl/>
        <w:spacing w:line="360" w:lineRule="auto"/>
        <w:ind w:left="0" w:leftChars="0" w:firstLine="249" w:firstLineChars="104"/>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spacing w:val="0"/>
          <w:sz w:val="24"/>
          <w:szCs w:val="24"/>
        </w:rPr>
        <w:t>注：请投标人认真学习北京市政府采购电子交易平台发布的相关操作手册（供应商可在交易平台下载相关手册），办理 CA 数字证书或电子营业执照、进行北京市政府采购电子交易平台注册绑定，认真核实</w:t>
      </w:r>
      <w:r>
        <w:rPr>
          <w:rFonts w:hint="eastAsia" w:ascii="宋体" w:hAnsi="宋体" w:eastAsia="宋体" w:cs="宋体"/>
          <w:b w:val="0"/>
          <w:i w:val="0"/>
          <w:caps w:val="0"/>
          <w:color w:val="000000"/>
          <w:spacing w:val="0"/>
          <w:sz w:val="24"/>
          <w:szCs w:val="24"/>
          <w:lang w:val="en-US" w:eastAsia="zh-CN"/>
        </w:rPr>
        <w:t>CA</w:t>
      </w:r>
      <w:r>
        <w:rPr>
          <w:rFonts w:hint="eastAsia" w:ascii="宋体" w:hAnsi="宋体" w:eastAsia="宋体" w:cs="宋体"/>
          <w:b w:val="0"/>
          <w:i w:val="0"/>
          <w:caps w:val="0"/>
          <w:color w:val="000000"/>
          <w:spacing w:val="0"/>
          <w:sz w:val="24"/>
          <w:szCs w:val="24"/>
        </w:rPr>
        <w:t>数字证书</w:t>
      </w:r>
      <w:r>
        <w:rPr>
          <w:rFonts w:hint="eastAsia" w:ascii="宋体" w:hAnsi="宋体" w:eastAsia="宋体" w:cs="宋体"/>
          <w:b w:val="0"/>
          <w:i w:val="0"/>
          <w:caps w:val="0"/>
          <w:color w:val="000000"/>
          <w:spacing w:val="0"/>
          <w:sz w:val="24"/>
          <w:szCs w:val="24"/>
          <w:lang w:eastAsia="zh-CN"/>
        </w:rPr>
        <w:t>或电子营业执照</w:t>
      </w:r>
      <w:r>
        <w:rPr>
          <w:rFonts w:hint="eastAsia" w:ascii="宋体" w:hAnsi="宋体" w:eastAsia="宋体" w:cs="宋体"/>
          <w:b w:val="0"/>
          <w:i w:val="0"/>
          <w:caps w:val="0"/>
          <w:color w:val="000000"/>
          <w:spacing w:val="0"/>
          <w:sz w:val="24"/>
          <w:szCs w:val="24"/>
        </w:rPr>
        <w:t>情况确认是否符合本项目电子投标要求</w:t>
      </w:r>
      <w:r>
        <w:rPr>
          <w:rFonts w:hint="eastAsia" w:ascii="宋体" w:hAnsi="宋体" w:eastAsia="宋体" w:cs="宋体"/>
          <w:b w:val="0"/>
          <w:i w:val="0"/>
          <w:caps w:val="0"/>
          <w:color w:val="000000"/>
          <w:spacing w:val="0"/>
          <w:sz w:val="24"/>
          <w:szCs w:val="24"/>
          <w:lang w:val="en-US" w:eastAsia="zh-CN"/>
        </w:rPr>
        <w:t>,并</w:t>
      </w:r>
      <w:r>
        <w:rPr>
          <w:rFonts w:hint="eastAsia" w:ascii="宋体" w:hAnsi="宋体" w:eastAsia="宋体" w:cs="宋体"/>
          <w:b w:val="0"/>
          <w:i w:val="0"/>
          <w:caps w:val="0"/>
          <w:color w:val="000000"/>
          <w:spacing w:val="0"/>
          <w:sz w:val="24"/>
          <w:szCs w:val="24"/>
        </w:rPr>
        <w:t>按上述获取方式和期限下载招标文件。</w:t>
      </w:r>
    </w:p>
    <w:p>
      <w:pPr>
        <w:pStyle w:val="33"/>
        <w:ind w:firstLine="480" w:firstLineChars="200"/>
        <w:rPr>
          <w:rFonts w:hint="eastAsia" w:ascii="宋体" w:hAnsi="宋体" w:eastAsia="宋体" w:cs="宋体"/>
          <w:b w:val="0"/>
          <w:i w:val="0"/>
          <w:caps w:val="0"/>
          <w:color w:val="000000"/>
          <w:spacing w:val="0"/>
          <w:sz w:val="24"/>
          <w:szCs w:val="24"/>
          <w:lang w:val="en-US" w:eastAsia="zh-CN"/>
        </w:rPr>
      </w:pPr>
      <w:r>
        <w:rPr>
          <w:rFonts w:hint="eastAsia" w:ascii="宋体" w:hAnsi="宋体" w:eastAsia="宋体" w:cs="宋体"/>
          <w:b w:val="0"/>
          <w:i w:val="0"/>
          <w:caps w:val="0"/>
          <w:color w:val="000000"/>
          <w:spacing w:val="0"/>
          <w:sz w:val="24"/>
          <w:szCs w:val="24"/>
          <w:lang w:val="en-US"/>
        </w:rPr>
        <w:t>CA</w:t>
      </w:r>
      <w:r>
        <w:rPr>
          <w:rFonts w:hint="eastAsia" w:ascii="宋体" w:hAnsi="宋体" w:eastAsia="宋体" w:cs="宋体"/>
          <w:b w:val="0"/>
          <w:i w:val="0"/>
          <w:caps w:val="0"/>
          <w:color w:val="000000"/>
          <w:spacing w:val="0"/>
          <w:sz w:val="24"/>
          <w:szCs w:val="24"/>
        </w:rPr>
        <w:t>数字证书服务热线</w:t>
      </w:r>
      <w:r>
        <w:rPr>
          <w:rFonts w:hint="eastAsia" w:ascii="宋体" w:hAnsi="宋体" w:cs="宋体"/>
          <w:b w:val="0"/>
          <w:i w:val="0"/>
          <w:caps w:val="0"/>
          <w:color w:val="000000"/>
          <w:spacing w:val="0"/>
          <w:sz w:val="24"/>
          <w:szCs w:val="24"/>
          <w:lang w:eastAsia="zh-CN"/>
        </w:rPr>
        <w:t>：</w:t>
      </w:r>
      <w:r>
        <w:rPr>
          <w:rFonts w:hint="eastAsia" w:ascii="宋体" w:hAnsi="宋体" w:eastAsia="宋体" w:cs="宋体"/>
          <w:b w:val="0"/>
          <w:i w:val="0"/>
          <w:caps w:val="0"/>
          <w:color w:val="000000"/>
          <w:spacing w:val="0"/>
          <w:sz w:val="24"/>
          <w:szCs w:val="24"/>
          <w:lang w:val="en-US"/>
        </w:rPr>
        <w:t>010-58511086</w:t>
      </w:r>
    </w:p>
    <w:p>
      <w:pPr>
        <w:pStyle w:val="33"/>
        <w:ind w:firstLine="480" w:firstLineChars="200"/>
        <w:rPr>
          <w:rFonts w:hint="eastAsia" w:ascii="宋体" w:hAnsi="宋体" w:eastAsia="宋体" w:cs="宋体"/>
          <w:b w:val="0"/>
          <w:i w:val="0"/>
          <w:caps w:val="0"/>
          <w:color w:val="000000"/>
          <w:spacing w:val="0"/>
          <w:sz w:val="24"/>
          <w:szCs w:val="24"/>
          <w:lang w:val="en-US" w:eastAsia="zh-CN"/>
        </w:rPr>
      </w:pPr>
      <w:r>
        <w:rPr>
          <w:rFonts w:hint="eastAsia" w:ascii="宋体" w:hAnsi="宋体" w:eastAsia="宋体" w:cs="宋体"/>
          <w:b w:val="0"/>
          <w:i w:val="0"/>
          <w:caps w:val="0"/>
          <w:color w:val="000000"/>
          <w:spacing w:val="0"/>
          <w:sz w:val="24"/>
          <w:szCs w:val="24"/>
          <w:lang w:val="en-US" w:eastAsia="zh-CN"/>
        </w:rPr>
        <w:t>电子营业执照服务热线</w:t>
      </w:r>
      <w:r>
        <w:rPr>
          <w:rFonts w:hint="eastAsia" w:ascii="宋体" w:hAnsi="宋体" w:cs="宋体"/>
          <w:b w:val="0"/>
          <w:i w:val="0"/>
          <w:caps w:val="0"/>
          <w:color w:val="000000"/>
          <w:spacing w:val="0"/>
          <w:sz w:val="24"/>
          <w:szCs w:val="24"/>
          <w:lang w:val="en-US" w:eastAsia="zh-CN"/>
        </w:rPr>
        <w:t>：</w:t>
      </w:r>
      <w:r>
        <w:rPr>
          <w:rFonts w:hint="eastAsia" w:ascii="宋体" w:hAnsi="宋体" w:eastAsia="宋体" w:cs="宋体"/>
          <w:b w:val="0"/>
          <w:i w:val="0"/>
          <w:caps w:val="0"/>
          <w:color w:val="000000"/>
          <w:spacing w:val="0"/>
          <w:sz w:val="24"/>
          <w:szCs w:val="24"/>
          <w:lang w:val="en-US" w:eastAsia="zh-CN"/>
        </w:rPr>
        <w:t>400-699-7000</w:t>
      </w:r>
    </w:p>
    <w:p>
      <w:pPr>
        <w:pStyle w:val="33"/>
        <w:ind w:firstLine="480" w:firstLineChars="200"/>
        <w:rPr>
          <w:rFonts w:hint="eastAsia"/>
        </w:rPr>
      </w:pPr>
      <w:r>
        <w:rPr>
          <w:rFonts w:hint="eastAsia" w:ascii="宋体" w:hAnsi="宋体" w:eastAsia="宋体" w:cs="宋体"/>
          <w:b w:val="0"/>
          <w:i w:val="0"/>
          <w:caps w:val="0"/>
          <w:color w:val="000000"/>
          <w:spacing w:val="0"/>
          <w:sz w:val="24"/>
          <w:szCs w:val="24"/>
          <w:lang w:val="en-US" w:eastAsia="zh-CN"/>
        </w:rPr>
        <w:t>平台技术支持服务热线</w:t>
      </w:r>
      <w:r>
        <w:rPr>
          <w:rFonts w:hint="eastAsia" w:ascii="宋体" w:hAnsi="宋体" w:cs="宋体"/>
          <w:b w:val="0"/>
          <w:i w:val="0"/>
          <w:caps w:val="0"/>
          <w:color w:val="000000"/>
          <w:spacing w:val="0"/>
          <w:sz w:val="24"/>
          <w:szCs w:val="24"/>
          <w:lang w:val="en-US" w:eastAsia="zh-CN"/>
        </w:rPr>
        <w:t>：</w:t>
      </w:r>
      <w:r>
        <w:rPr>
          <w:rFonts w:hint="eastAsia" w:ascii="宋体" w:hAnsi="宋体" w:eastAsia="宋体" w:cs="宋体"/>
          <w:b w:val="0"/>
          <w:i w:val="0"/>
          <w:caps w:val="0"/>
          <w:color w:val="000000"/>
          <w:spacing w:val="0"/>
          <w:sz w:val="24"/>
          <w:szCs w:val="24"/>
          <w:lang w:val="en-US" w:eastAsia="zh-CN"/>
        </w:rPr>
        <w:t>010-86483801</w:t>
      </w:r>
    </w:p>
    <w:p>
      <w:pPr>
        <w:spacing w:line="360" w:lineRule="auto"/>
        <w:rPr>
          <w:rFonts w:hint="eastAsia" w:ascii="宋体" w:hAnsi="宋体"/>
          <w:color w:val="auto"/>
          <w:sz w:val="24"/>
        </w:rPr>
      </w:pPr>
      <w:bookmarkStart w:id="12" w:name="_Toc174185144"/>
      <w:bookmarkStart w:id="13" w:name="_Toc186274097"/>
      <w:bookmarkStart w:id="14" w:name="_Toc180051008"/>
      <w:bookmarkStart w:id="15" w:name="_Toc184023100"/>
      <w:bookmarkStart w:id="16" w:name="_Toc184013601"/>
      <w:bookmarkStart w:id="17" w:name="_Toc174185151"/>
      <w:bookmarkStart w:id="18" w:name="_Toc184013607"/>
      <w:bookmarkStart w:id="19" w:name="_Toc180051014"/>
      <w:bookmarkStart w:id="20" w:name="_Toc186274103"/>
      <w:bookmarkStart w:id="21" w:name="_Toc184023106"/>
      <w:r>
        <w:rPr>
          <w:rFonts w:hint="eastAsia" w:ascii="宋体" w:hAnsi="宋体"/>
          <w:b/>
          <w:bCs/>
          <w:color w:val="auto"/>
          <w:sz w:val="24"/>
        </w:rPr>
        <w:t>十二、询标时间：</w:t>
      </w:r>
      <w:r>
        <w:rPr>
          <w:rFonts w:hint="eastAsia" w:ascii="宋体" w:hAnsi="宋体"/>
          <w:color w:val="auto"/>
          <w:sz w:val="24"/>
        </w:rPr>
        <w:t>202</w:t>
      </w:r>
      <w:r>
        <w:rPr>
          <w:rFonts w:hint="eastAsia" w:ascii="宋体" w:hAnsi="宋体"/>
          <w:color w:val="auto"/>
          <w:sz w:val="24"/>
          <w:lang w:val="en-US" w:eastAsia="zh-CN"/>
        </w:rPr>
        <w:t>4</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22</w:t>
      </w:r>
      <w:r>
        <w:rPr>
          <w:rFonts w:hint="eastAsia" w:ascii="宋体" w:hAnsi="宋体"/>
          <w:color w:val="auto"/>
          <w:sz w:val="24"/>
        </w:rPr>
        <w:t>日下午1</w:t>
      </w:r>
      <w:r>
        <w:rPr>
          <w:rFonts w:hint="eastAsia" w:ascii="宋体" w:hAnsi="宋体"/>
          <w:color w:val="auto"/>
          <w:sz w:val="24"/>
          <w:lang w:val="en-US" w:eastAsia="zh-CN"/>
        </w:rPr>
        <w:t>5</w:t>
      </w:r>
      <w:r>
        <w:rPr>
          <w:rFonts w:hint="eastAsia" w:ascii="宋体" w:hAnsi="宋体"/>
          <w:color w:val="auto"/>
          <w:sz w:val="24"/>
        </w:rPr>
        <w:t>：30</w:t>
      </w:r>
    </w:p>
    <w:p>
      <w:pPr>
        <w:numPr>
          <w:ilvl w:val="-1"/>
          <w:numId w:val="0"/>
        </w:numPr>
        <w:snapToGrid/>
        <w:spacing w:line="380" w:lineRule="exact"/>
        <w:ind w:left="720" w:hanging="720" w:hangingChars="300"/>
        <w:rPr>
          <w:rFonts w:hint="eastAsia" w:ascii="宋体" w:hAnsi="宋体" w:cs="宋体"/>
          <w:color w:val="auto"/>
          <w:sz w:val="24"/>
        </w:rPr>
      </w:pPr>
      <w:r>
        <w:rPr>
          <w:rFonts w:hint="eastAsia" w:ascii="宋体" w:hAnsi="宋体"/>
          <w:color w:val="auto"/>
          <w:sz w:val="24"/>
        </w:rPr>
        <w:t xml:space="preserve">      </w:t>
      </w:r>
      <w:r>
        <w:rPr>
          <w:rFonts w:hint="eastAsia" w:ascii="宋体" w:hAnsi="宋体"/>
          <w:b/>
          <w:color w:val="auto"/>
          <w:sz w:val="24"/>
        </w:rPr>
        <w:t>询标地点：</w:t>
      </w:r>
      <w:r>
        <w:rPr>
          <w:rFonts w:hint="eastAsia" w:ascii="宋体" w:hAnsi="宋体"/>
          <w:color w:val="auto"/>
          <w:sz w:val="24"/>
        </w:rPr>
        <w:t>北京市石景山区政府采购中心</w:t>
      </w:r>
      <w:r>
        <w:rPr>
          <w:rFonts w:hint="eastAsia" w:ascii="宋体" w:hAnsi="宋体" w:cs="宋体"/>
          <w:color w:val="auto"/>
          <w:sz w:val="24"/>
        </w:rPr>
        <w:t>（北京市石景山区京原西街6号院3号楼7层）</w:t>
      </w:r>
    </w:p>
    <w:p>
      <w:pPr>
        <w:numPr>
          <w:ilvl w:val="-1"/>
          <w:numId w:val="0"/>
        </w:numPr>
        <w:snapToGrid/>
        <w:spacing w:line="380" w:lineRule="exact"/>
        <w:ind w:left="0" w:leftChars="0" w:firstLine="723" w:firstLineChars="300"/>
        <w:jc w:val="both"/>
        <w:rPr>
          <w:rFonts w:hint="eastAsia" w:ascii="宋体" w:hAnsi="宋体"/>
          <w:color w:val="auto"/>
          <w:sz w:val="24"/>
        </w:rPr>
      </w:pPr>
      <w:r>
        <w:rPr>
          <w:rFonts w:hint="eastAsia" w:ascii="宋体" w:hAnsi="宋体"/>
          <w:b/>
          <w:color w:val="auto"/>
          <w:sz w:val="24"/>
        </w:rPr>
        <w:t>询标内容</w:t>
      </w:r>
      <w:r>
        <w:rPr>
          <w:rFonts w:hint="eastAsia" w:ascii="宋体" w:hAnsi="宋体"/>
          <w:color w:val="auto"/>
          <w:sz w:val="24"/>
        </w:rPr>
        <w:t>：</w:t>
      </w:r>
      <w:r>
        <w:rPr>
          <w:rFonts w:ascii="Tahoma" w:hAnsi="Tahoma" w:cs="Tahoma"/>
          <w:color w:val="auto"/>
          <w:sz w:val="24"/>
        </w:rPr>
        <w:t>对《招标文件》技术及商务部分进行现场答疑</w:t>
      </w:r>
      <w:r>
        <w:rPr>
          <w:rFonts w:hint="eastAsia" w:ascii="宋体" w:hAnsi="宋体"/>
          <w:color w:val="auto"/>
          <w:sz w:val="24"/>
        </w:rPr>
        <w:t>。</w:t>
      </w:r>
    </w:p>
    <w:p>
      <w:pPr>
        <w:tabs>
          <w:tab w:val="left" w:pos="360"/>
        </w:tabs>
        <w:spacing w:line="360" w:lineRule="auto"/>
        <w:rPr>
          <w:rFonts w:hint="eastAsia" w:ascii="宋体" w:hAnsi="宋体"/>
          <w:color w:val="auto"/>
          <w:sz w:val="24"/>
          <w:lang w:val="en-US"/>
        </w:rPr>
      </w:pPr>
      <w:r>
        <w:rPr>
          <w:rFonts w:hint="eastAsia" w:ascii="宋体" w:hAnsi="宋体"/>
          <w:b/>
          <w:color w:val="auto"/>
          <w:sz w:val="24"/>
        </w:rPr>
        <w:t>十三、电子投标、开标、解密时间及地点：</w:t>
      </w:r>
      <w:r>
        <w:rPr>
          <w:rFonts w:hint="eastAsia" w:ascii="宋体" w:hAnsi="宋体"/>
          <w:color w:val="auto"/>
          <w:sz w:val="24"/>
        </w:rPr>
        <w:t xml:space="preserve"> </w:t>
      </w:r>
      <w:r>
        <w:rPr>
          <w:rFonts w:hint="eastAsia" w:ascii="宋体" w:hAnsi="宋体"/>
          <w:color w:val="auto"/>
          <w:sz w:val="24"/>
          <w:lang w:val="en-US" w:eastAsia="zh-CN"/>
        </w:rPr>
        <w:t xml:space="preserve"> </w:t>
      </w:r>
    </w:p>
    <w:p>
      <w:pPr>
        <w:numPr>
          <w:ilvl w:val="-1"/>
          <w:numId w:val="0"/>
        </w:numPr>
        <w:snapToGrid/>
        <w:spacing w:line="380" w:lineRule="exact"/>
        <w:ind w:left="0" w:leftChars="0" w:firstLine="0" w:firstLineChars="0"/>
        <w:jc w:val="both"/>
        <w:rPr>
          <w:rFonts w:hint="eastAsia" w:ascii="宋体" w:hAnsi="宋体"/>
          <w:b/>
          <w:color w:val="auto"/>
          <w:sz w:val="24"/>
        </w:rPr>
      </w:pPr>
      <w:r>
        <w:rPr>
          <w:rFonts w:hint="eastAsia" w:ascii="宋体" w:hAnsi="宋体"/>
          <w:b/>
          <w:color w:val="auto"/>
          <w:sz w:val="24"/>
        </w:rPr>
        <w:t xml:space="preserve">  </w:t>
      </w:r>
      <w:r>
        <w:rPr>
          <w:rFonts w:hint="eastAsia" w:ascii="宋体" w:hAnsi="宋体"/>
          <w:b/>
          <w:color w:val="auto"/>
          <w:sz w:val="24"/>
          <w:lang w:val="en-US" w:eastAsia="zh-CN"/>
        </w:rPr>
        <w:t xml:space="preserve">  </w:t>
      </w:r>
      <w:r>
        <w:rPr>
          <w:rFonts w:hint="eastAsia" w:ascii="宋体" w:hAnsi="宋体"/>
          <w:b/>
          <w:color w:val="auto"/>
          <w:sz w:val="24"/>
        </w:rPr>
        <w:t xml:space="preserve">  </w:t>
      </w:r>
      <w:r>
        <w:rPr>
          <w:rFonts w:hint="eastAsia" w:ascii="宋体" w:hAnsi="宋体"/>
          <w:b/>
          <w:color w:val="auto"/>
          <w:sz w:val="24"/>
          <w:lang w:val="en-US" w:eastAsia="zh-CN"/>
        </w:rPr>
        <w:t>1、电子投标截止时间：</w:t>
      </w:r>
      <w:r>
        <w:rPr>
          <w:rFonts w:hint="eastAsia" w:ascii="宋体" w:hAnsi="宋体"/>
          <w:b w:val="0"/>
          <w:bCs/>
          <w:color w:val="auto"/>
          <w:sz w:val="24"/>
        </w:rPr>
        <w:t>202</w:t>
      </w:r>
      <w:r>
        <w:rPr>
          <w:rFonts w:hint="eastAsia" w:ascii="宋体" w:hAnsi="宋体"/>
          <w:b w:val="0"/>
          <w:bCs/>
          <w:color w:val="auto"/>
          <w:sz w:val="24"/>
          <w:lang w:val="en-US" w:eastAsia="zh-CN"/>
        </w:rPr>
        <w:t>4</w:t>
      </w:r>
      <w:r>
        <w:rPr>
          <w:rFonts w:hint="eastAsia" w:ascii="宋体" w:hAnsi="宋体"/>
          <w:b w:val="0"/>
          <w:bCs/>
          <w:color w:val="auto"/>
          <w:sz w:val="24"/>
        </w:rPr>
        <w:t>年</w:t>
      </w:r>
      <w:r>
        <w:rPr>
          <w:rFonts w:hint="eastAsia" w:ascii="宋体" w:hAnsi="宋体"/>
          <w:b w:val="0"/>
          <w:bCs/>
          <w:color w:val="auto"/>
          <w:sz w:val="24"/>
          <w:lang w:val="en-US" w:eastAsia="zh-CN"/>
        </w:rPr>
        <w:t>12</w:t>
      </w:r>
      <w:r>
        <w:rPr>
          <w:rFonts w:hint="eastAsia" w:ascii="宋体" w:hAnsi="宋体"/>
          <w:b w:val="0"/>
          <w:bCs/>
          <w:color w:val="auto"/>
          <w:sz w:val="24"/>
        </w:rPr>
        <w:t>月</w:t>
      </w:r>
      <w:r>
        <w:rPr>
          <w:rFonts w:hint="eastAsia" w:ascii="宋体" w:hAnsi="宋体"/>
          <w:b w:val="0"/>
          <w:bCs/>
          <w:color w:val="auto"/>
          <w:sz w:val="24"/>
          <w:lang w:val="en-US" w:eastAsia="zh-CN"/>
        </w:rPr>
        <w:t>5</w:t>
      </w:r>
      <w:r>
        <w:rPr>
          <w:rFonts w:hint="eastAsia" w:ascii="宋体" w:hAnsi="宋体"/>
          <w:b w:val="0"/>
          <w:bCs/>
          <w:color w:val="auto"/>
          <w:sz w:val="24"/>
        </w:rPr>
        <w:t>日  上午9:</w:t>
      </w:r>
      <w:r>
        <w:rPr>
          <w:rFonts w:hint="eastAsia" w:ascii="宋体" w:hAnsi="宋体"/>
          <w:b w:val="0"/>
          <w:bCs/>
          <w:color w:val="auto"/>
          <w:sz w:val="24"/>
          <w:lang w:val="en-US" w:eastAsia="zh-CN"/>
        </w:rPr>
        <w:t>0</w:t>
      </w:r>
      <w:r>
        <w:rPr>
          <w:rFonts w:hint="eastAsia" w:ascii="宋体" w:hAnsi="宋体"/>
          <w:b w:val="0"/>
          <w:bCs/>
          <w:color w:val="auto"/>
          <w:sz w:val="24"/>
        </w:rPr>
        <w:t>0（北京时间）</w:t>
      </w:r>
    </w:p>
    <w:p>
      <w:pPr>
        <w:numPr>
          <w:ilvl w:val="-1"/>
          <w:numId w:val="0"/>
        </w:numPr>
        <w:snapToGrid/>
        <w:spacing w:line="380" w:lineRule="exact"/>
        <w:ind w:left="0" w:leftChars="0" w:firstLine="723" w:firstLineChars="300"/>
        <w:jc w:val="both"/>
        <w:rPr>
          <w:rFonts w:hint="eastAsia" w:ascii="宋体" w:hAnsi="宋体"/>
          <w:b/>
          <w:color w:val="auto"/>
          <w:sz w:val="24"/>
          <w:lang w:val="en-US" w:eastAsia="zh-CN"/>
        </w:rPr>
      </w:pPr>
      <w:r>
        <w:rPr>
          <w:rFonts w:hint="eastAsia" w:ascii="宋体" w:hAnsi="宋体"/>
          <w:b/>
          <w:color w:val="auto"/>
          <w:sz w:val="24"/>
          <w:lang w:val="en-US" w:eastAsia="zh-CN"/>
        </w:rPr>
        <w:t>2、开标时间：</w:t>
      </w:r>
      <w:r>
        <w:rPr>
          <w:rFonts w:hint="eastAsia" w:ascii="宋体" w:hAnsi="宋体" w:cs="微软雅黑"/>
          <w:color w:val="auto"/>
          <w:sz w:val="24"/>
          <w:szCs w:val="24"/>
        </w:rPr>
        <w:t>202</w:t>
      </w:r>
      <w:r>
        <w:rPr>
          <w:rFonts w:hint="eastAsia" w:ascii="宋体" w:hAnsi="宋体" w:cs="微软雅黑"/>
          <w:color w:val="auto"/>
          <w:sz w:val="24"/>
          <w:szCs w:val="24"/>
          <w:lang w:val="en-US" w:eastAsia="zh-CN"/>
        </w:rPr>
        <w:t>4</w:t>
      </w:r>
      <w:r>
        <w:rPr>
          <w:rFonts w:hint="eastAsia" w:ascii="宋体" w:hAnsi="宋体" w:cs="微软雅黑"/>
          <w:color w:val="auto"/>
          <w:sz w:val="24"/>
          <w:szCs w:val="24"/>
        </w:rPr>
        <w:t>年</w:t>
      </w:r>
      <w:r>
        <w:rPr>
          <w:rFonts w:hint="eastAsia" w:ascii="宋体" w:hAnsi="宋体" w:cs="微软雅黑"/>
          <w:color w:val="auto"/>
          <w:sz w:val="24"/>
          <w:szCs w:val="24"/>
          <w:lang w:val="en-US" w:eastAsia="zh-CN"/>
        </w:rPr>
        <w:t>12</w:t>
      </w:r>
      <w:r>
        <w:rPr>
          <w:rFonts w:hint="eastAsia" w:ascii="宋体" w:hAnsi="宋体" w:cs="微软雅黑"/>
          <w:color w:val="auto"/>
          <w:sz w:val="24"/>
          <w:szCs w:val="24"/>
        </w:rPr>
        <w:t>月</w:t>
      </w:r>
      <w:r>
        <w:rPr>
          <w:rFonts w:hint="eastAsia" w:ascii="宋体" w:hAnsi="宋体" w:cs="微软雅黑"/>
          <w:color w:val="auto"/>
          <w:sz w:val="24"/>
          <w:szCs w:val="24"/>
          <w:lang w:val="en-US" w:eastAsia="zh-CN"/>
        </w:rPr>
        <w:t>5</w:t>
      </w:r>
      <w:r>
        <w:rPr>
          <w:rFonts w:hint="eastAsia" w:ascii="宋体" w:hAnsi="宋体" w:cs="微软雅黑"/>
          <w:color w:val="auto"/>
          <w:sz w:val="24"/>
          <w:szCs w:val="24"/>
        </w:rPr>
        <w:t>日  上午9:</w:t>
      </w:r>
      <w:r>
        <w:rPr>
          <w:rFonts w:hint="eastAsia" w:ascii="宋体" w:hAnsi="宋体" w:cs="微软雅黑"/>
          <w:color w:val="auto"/>
          <w:sz w:val="24"/>
          <w:szCs w:val="24"/>
          <w:lang w:val="en-US" w:eastAsia="zh-CN"/>
        </w:rPr>
        <w:t>0</w:t>
      </w:r>
      <w:r>
        <w:rPr>
          <w:rFonts w:hint="eastAsia" w:ascii="宋体" w:hAnsi="宋体" w:cs="微软雅黑"/>
          <w:color w:val="auto"/>
          <w:sz w:val="24"/>
          <w:szCs w:val="24"/>
        </w:rPr>
        <w:t>0（北京时间）</w:t>
      </w:r>
    </w:p>
    <w:p>
      <w:pPr>
        <w:numPr>
          <w:ilvl w:val="-1"/>
          <w:numId w:val="0"/>
        </w:numPr>
        <w:snapToGrid/>
        <w:spacing w:line="380" w:lineRule="exact"/>
        <w:ind w:left="1202" w:leftChars="300" w:hanging="482" w:hangingChars="200"/>
        <w:jc w:val="both"/>
        <w:rPr>
          <w:rFonts w:hint="eastAsia" w:ascii="宋体" w:hAnsi="宋体" w:cs="宋体"/>
          <w:b w:val="0"/>
          <w:bCs w:val="0"/>
          <w:color w:val="auto"/>
          <w:sz w:val="24"/>
          <w:lang w:val="en-US" w:eastAsia="zh-CN"/>
        </w:rPr>
      </w:pPr>
      <w:r>
        <w:rPr>
          <w:rFonts w:hint="eastAsia" w:ascii="宋体" w:hAnsi="宋体"/>
          <w:b/>
          <w:color w:val="auto"/>
          <w:sz w:val="24"/>
          <w:lang w:val="en-US" w:eastAsia="zh-CN"/>
        </w:rPr>
        <w:t>3、</w:t>
      </w:r>
      <w:r>
        <w:rPr>
          <w:rFonts w:hint="eastAsia" w:ascii="宋体" w:hAnsi="宋体" w:cs="宋体"/>
          <w:b/>
          <w:bCs/>
          <w:color w:val="auto"/>
          <w:sz w:val="24"/>
          <w:lang w:val="en-US" w:eastAsia="zh-CN"/>
        </w:rPr>
        <w:t>解密时限：</w:t>
      </w:r>
      <w:r>
        <w:rPr>
          <w:rFonts w:hint="eastAsia" w:ascii="宋体" w:hAnsi="宋体" w:cs="宋体"/>
          <w:b w:val="0"/>
          <w:bCs w:val="0"/>
          <w:color w:val="auto"/>
          <w:sz w:val="24"/>
          <w:lang w:val="en-US" w:eastAsia="zh-CN"/>
        </w:rPr>
        <w:t>解密时限为北京市政府采购电子交易平台开启投标人自行解密功能后30分钟（开标时间即开启时间）。</w:t>
      </w:r>
    </w:p>
    <w:p>
      <w:pPr>
        <w:numPr>
          <w:ilvl w:val="-1"/>
          <w:numId w:val="0"/>
        </w:numPr>
        <w:snapToGrid/>
        <w:spacing w:line="380" w:lineRule="exact"/>
        <w:ind w:left="1202" w:leftChars="300" w:hanging="482" w:hangingChars="200"/>
        <w:jc w:val="both"/>
        <w:rPr>
          <w:rFonts w:hint="eastAsia" w:ascii="宋体" w:hAnsi="宋体" w:cs="宋体"/>
          <w:color w:val="auto"/>
          <w:sz w:val="24"/>
        </w:rPr>
      </w:pPr>
      <w:r>
        <w:rPr>
          <w:rFonts w:hint="eastAsia" w:ascii="宋体" w:hAnsi="宋体" w:cs="宋体"/>
          <w:b/>
          <w:bCs/>
          <w:color w:val="auto"/>
          <w:sz w:val="24"/>
          <w:lang w:val="en-US" w:eastAsia="zh-CN"/>
        </w:rPr>
        <w:t>4、</w:t>
      </w:r>
      <w:r>
        <w:rPr>
          <w:rFonts w:hint="eastAsia" w:ascii="宋体" w:hAnsi="宋体"/>
          <w:b/>
          <w:color w:val="auto"/>
          <w:sz w:val="24"/>
          <w:lang w:val="en-US" w:eastAsia="zh-CN"/>
        </w:rPr>
        <w:t>开标、解密地点及方式：本项目采用远程电子开标方式，由投标人自行对电子投标文件进行解密，不接受纸质文件，无须投标人到达现场。</w:t>
      </w:r>
    </w:p>
    <w:p>
      <w:pPr>
        <w:snapToGrid w:val="0"/>
        <w:spacing w:line="400" w:lineRule="exact"/>
        <w:ind w:left="840"/>
        <w:rPr>
          <w:rFonts w:ascii="宋体" w:hAnsi="宋体" w:cs="微软雅黑"/>
          <w:sz w:val="24"/>
          <w:szCs w:val="24"/>
        </w:rPr>
      </w:pPr>
      <w:r>
        <w:rPr>
          <w:rFonts w:hint="eastAsia" w:ascii="宋体" w:hAnsi="宋体" w:cs="宋体"/>
          <w:b/>
          <w:bCs/>
          <w:color w:val="auto"/>
          <w:sz w:val="24"/>
          <w:lang w:val="en-US" w:eastAsia="zh-CN"/>
        </w:rPr>
        <w:t>注意事项：</w:t>
      </w:r>
      <w:bookmarkEnd w:id="12"/>
      <w:bookmarkEnd w:id="13"/>
      <w:bookmarkEnd w:id="14"/>
      <w:bookmarkEnd w:id="15"/>
      <w:bookmarkEnd w:id="16"/>
      <w:r>
        <w:rPr>
          <w:rFonts w:hint="eastAsia" w:ascii="宋体" w:hAnsi="宋体" w:cs="微软雅黑"/>
          <w:sz w:val="24"/>
          <w:szCs w:val="24"/>
        </w:rPr>
        <w:t>本项目采用远程电子开标方式，为保证开标解密顺利进行，请投标人务必远程参加并保持联系人电话畅通，同时确保使用制作上传本项目电子投标文件的计算机设备及自身CA数字认证证书</w:t>
      </w:r>
      <w:r>
        <w:rPr>
          <w:rFonts w:hint="eastAsia" w:ascii="宋体" w:hAnsi="宋体" w:cs="微软雅黑"/>
          <w:sz w:val="24"/>
          <w:szCs w:val="24"/>
          <w:lang w:eastAsia="zh-CN"/>
        </w:rPr>
        <w:t>或电子营业执照</w:t>
      </w:r>
      <w:r>
        <w:rPr>
          <w:rFonts w:hint="eastAsia" w:ascii="宋体" w:hAnsi="宋体" w:cs="微软雅黑"/>
          <w:sz w:val="24"/>
          <w:szCs w:val="24"/>
        </w:rPr>
        <w:t>登录北京市政府采购电子交易平台进行自行解密操作，请投标人务必于解密功能开启后及时操作。解密阶段技术电话：010-86483801</w:t>
      </w:r>
    </w:p>
    <w:p>
      <w:pPr>
        <w:numPr>
          <w:ilvl w:val="-1"/>
          <w:numId w:val="0"/>
        </w:numPr>
        <w:adjustRightInd/>
        <w:spacing w:line="400" w:lineRule="exact"/>
        <w:ind w:left="709" w:firstLine="0"/>
        <w:jc w:val="both"/>
        <w:textAlignment w:val="auto"/>
        <w:rPr>
          <w:rFonts w:ascii="宋体" w:hAnsi="宋体"/>
          <w:color w:val="auto"/>
          <w:kern w:val="2"/>
          <w:sz w:val="24"/>
          <w:szCs w:val="24"/>
        </w:rPr>
      </w:pPr>
      <w:r>
        <w:rPr>
          <w:rFonts w:hint="eastAsia" w:ascii="宋体" w:hAnsi="宋体"/>
          <w:color w:val="auto"/>
          <w:kern w:val="2"/>
          <w:sz w:val="24"/>
          <w:szCs w:val="24"/>
          <w:lang w:eastAsia="zh-CN"/>
        </w:rPr>
        <w:t>（</w:t>
      </w:r>
      <w:r>
        <w:rPr>
          <w:rFonts w:hint="eastAsia" w:ascii="宋体" w:hAnsi="宋体"/>
          <w:color w:val="auto"/>
          <w:kern w:val="2"/>
          <w:sz w:val="24"/>
          <w:szCs w:val="24"/>
          <w:lang w:val="en-US" w:eastAsia="zh-CN"/>
        </w:rPr>
        <w:t>1</w:t>
      </w:r>
      <w:r>
        <w:rPr>
          <w:rFonts w:hint="eastAsia" w:ascii="宋体" w:hAnsi="宋体"/>
          <w:color w:val="auto"/>
          <w:kern w:val="2"/>
          <w:sz w:val="24"/>
          <w:szCs w:val="24"/>
          <w:lang w:eastAsia="zh-CN"/>
        </w:rPr>
        <w:t>）</w:t>
      </w:r>
      <w:r>
        <w:rPr>
          <w:rFonts w:hint="eastAsia" w:ascii="宋体" w:hAnsi="宋体"/>
          <w:color w:val="auto"/>
          <w:kern w:val="2"/>
          <w:sz w:val="24"/>
          <w:szCs w:val="24"/>
        </w:rPr>
        <w:t>未在电子投标截止时间前按程序上传电子投标文件的投标无效。</w:t>
      </w:r>
    </w:p>
    <w:p>
      <w:pPr>
        <w:numPr>
          <w:ilvl w:val="-1"/>
          <w:numId w:val="0"/>
        </w:numPr>
        <w:adjustRightInd/>
        <w:spacing w:line="400" w:lineRule="exact"/>
        <w:ind w:left="709" w:firstLine="0"/>
        <w:jc w:val="both"/>
        <w:textAlignment w:val="auto"/>
        <w:rPr>
          <w:rFonts w:ascii="宋体" w:hAnsi="宋体"/>
          <w:color w:val="auto"/>
          <w:kern w:val="2"/>
          <w:sz w:val="24"/>
          <w:szCs w:val="24"/>
        </w:rPr>
      </w:pPr>
      <w:r>
        <w:rPr>
          <w:rFonts w:hint="eastAsia" w:ascii="宋体" w:hAnsi="宋体"/>
          <w:color w:val="auto"/>
          <w:kern w:val="2"/>
          <w:sz w:val="24"/>
          <w:szCs w:val="24"/>
          <w:lang w:eastAsia="zh-CN"/>
        </w:rPr>
        <w:t>（</w:t>
      </w:r>
      <w:r>
        <w:rPr>
          <w:rFonts w:hint="eastAsia" w:ascii="宋体" w:hAnsi="宋体"/>
          <w:color w:val="auto"/>
          <w:kern w:val="2"/>
          <w:sz w:val="24"/>
          <w:szCs w:val="24"/>
          <w:lang w:val="en-US" w:eastAsia="zh-CN"/>
        </w:rPr>
        <w:t>2</w:t>
      </w:r>
      <w:r>
        <w:rPr>
          <w:rFonts w:hint="eastAsia" w:ascii="宋体" w:hAnsi="宋体"/>
          <w:color w:val="auto"/>
          <w:kern w:val="2"/>
          <w:sz w:val="24"/>
          <w:szCs w:val="24"/>
          <w:lang w:eastAsia="zh-CN"/>
        </w:rPr>
        <w:t>）</w:t>
      </w:r>
      <w:r>
        <w:rPr>
          <w:rFonts w:hint="eastAsia" w:ascii="宋体" w:hAnsi="宋体"/>
          <w:color w:val="auto"/>
          <w:kern w:val="2"/>
          <w:sz w:val="24"/>
          <w:szCs w:val="24"/>
        </w:rPr>
        <w:t>电子投标文件制作、上传等注意事项详见招标文件第一部分说明。</w:t>
      </w:r>
    </w:p>
    <w:p>
      <w:pPr>
        <w:numPr>
          <w:ilvl w:val="-1"/>
          <w:numId w:val="0"/>
        </w:numPr>
        <w:adjustRightInd/>
        <w:spacing w:line="400" w:lineRule="exact"/>
        <w:ind w:left="709" w:firstLine="0"/>
        <w:jc w:val="both"/>
        <w:textAlignment w:val="auto"/>
        <w:rPr>
          <w:rFonts w:ascii="宋体" w:hAnsi="宋体"/>
          <w:color w:val="auto"/>
          <w:kern w:val="2"/>
          <w:sz w:val="24"/>
          <w:szCs w:val="24"/>
        </w:rPr>
      </w:pPr>
      <w:r>
        <w:rPr>
          <w:rFonts w:hint="eastAsia" w:ascii="宋体" w:hAnsi="宋体"/>
          <w:color w:val="auto"/>
          <w:kern w:val="2"/>
          <w:sz w:val="24"/>
          <w:szCs w:val="24"/>
          <w:lang w:eastAsia="zh-CN"/>
        </w:rPr>
        <w:t>（</w:t>
      </w:r>
      <w:r>
        <w:rPr>
          <w:rFonts w:hint="eastAsia" w:ascii="宋体" w:hAnsi="宋体"/>
          <w:color w:val="auto"/>
          <w:kern w:val="2"/>
          <w:sz w:val="24"/>
          <w:szCs w:val="24"/>
          <w:lang w:val="en-US" w:eastAsia="zh-CN"/>
        </w:rPr>
        <w:t>3</w:t>
      </w:r>
      <w:r>
        <w:rPr>
          <w:rFonts w:hint="eastAsia" w:ascii="宋体" w:hAnsi="宋体"/>
          <w:color w:val="auto"/>
          <w:kern w:val="2"/>
          <w:sz w:val="24"/>
          <w:szCs w:val="24"/>
          <w:lang w:eastAsia="zh-CN"/>
        </w:rPr>
        <w:t>）</w:t>
      </w:r>
      <w:r>
        <w:rPr>
          <w:rFonts w:hint="eastAsia" w:ascii="宋体" w:hAnsi="宋体"/>
          <w:color w:val="auto"/>
          <w:kern w:val="2"/>
          <w:sz w:val="24"/>
          <w:szCs w:val="24"/>
        </w:rPr>
        <w:t>开标时具体操作流程及注意事项详见招标文件第三部分“14.</w:t>
      </w:r>
      <w:r>
        <w:rPr>
          <w:rFonts w:hint="eastAsia" w:ascii="宋体" w:hAnsi="宋体"/>
          <w:color w:val="auto"/>
          <w:kern w:val="2"/>
          <w:sz w:val="24"/>
          <w:szCs w:val="24"/>
        </w:rPr>
        <w:tab/>
      </w:r>
      <w:r>
        <w:rPr>
          <w:rFonts w:hint="eastAsia" w:ascii="宋体" w:hAnsi="宋体"/>
          <w:color w:val="auto"/>
          <w:kern w:val="2"/>
          <w:sz w:val="24"/>
          <w:szCs w:val="24"/>
        </w:rPr>
        <w:t>开标、解密及唱标”。</w:t>
      </w:r>
    </w:p>
    <w:p>
      <w:pPr>
        <w:spacing w:line="360" w:lineRule="auto"/>
        <w:rPr>
          <w:rFonts w:hint="eastAsia" w:ascii="宋体" w:hAnsi="宋体"/>
          <w:b/>
          <w:color w:val="auto"/>
          <w:sz w:val="24"/>
        </w:rPr>
      </w:pPr>
      <w:r>
        <w:rPr>
          <w:rFonts w:hint="eastAsia" w:ascii="宋体" w:hAnsi="宋体"/>
          <w:b/>
          <w:color w:val="auto"/>
          <w:sz w:val="24"/>
        </w:rPr>
        <w:t>十八、联系方式</w:t>
      </w:r>
    </w:p>
    <w:p>
      <w:pPr>
        <w:spacing w:line="380" w:lineRule="exact"/>
        <w:ind w:left="550" w:leftChars="229" w:firstLine="360" w:firstLineChars="150"/>
        <w:rPr>
          <w:rFonts w:hint="eastAsia" w:ascii="宋体" w:hAnsi="宋体"/>
          <w:color w:val="auto"/>
          <w:sz w:val="24"/>
        </w:rPr>
      </w:pPr>
      <w:r>
        <w:rPr>
          <w:rFonts w:hint="eastAsia" w:ascii="宋体" w:hAnsi="宋体"/>
          <w:color w:val="auto"/>
          <w:sz w:val="24"/>
        </w:rPr>
        <w:t>联系单位：北京市石景山区政府采购中心</w:t>
      </w:r>
    </w:p>
    <w:p>
      <w:pPr>
        <w:spacing w:line="380" w:lineRule="exact"/>
        <w:ind w:firstLine="840" w:firstLineChars="350"/>
        <w:rPr>
          <w:rFonts w:hint="eastAsia" w:ascii="宋体" w:hAnsi="宋体"/>
          <w:color w:val="auto"/>
          <w:sz w:val="24"/>
        </w:rPr>
      </w:pPr>
      <w:r>
        <w:rPr>
          <w:rFonts w:hint="eastAsia" w:ascii="宋体" w:hAnsi="宋体"/>
          <w:color w:val="auto"/>
          <w:sz w:val="24"/>
        </w:rPr>
        <w:t xml:space="preserve">地　　址：北京市石景山区京原西街6号院3号楼7层     </w:t>
      </w:r>
    </w:p>
    <w:p>
      <w:pPr>
        <w:tabs>
          <w:tab w:val="left" w:pos="-3060"/>
        </w:tabs>
        <w:spacing w:line="380" w:lineRule="exact"/>
        <w:ind w:firstLine="840" w:firstLineChars="350"/>
        <w:rPr>
          <w:rFonts w:hint="eastAsia" w:ascii="宋体" w:hAnsi="宋体"/>
          <w:color w:val="auto"/>
          <w:sz w:val="24"/>
        </w:rPr>
      </w:pPr>
      <w:r>
        <w:rPr>
          <w:rFonts w:hint="eastAsia" w:ascii="宋体" w:hAnsi="宋体"/>
          <w:color w:val="auto"/>
          <w:sz w:val="24"/>
        </w:rPr>
        <w:t xml:space="preserve">电　　话：68816115                        </w:t>
      </w:r>
    </w:p>
    <w:p>
      <w:pPr>
        <w:tabs>
          <w:tab w:val="left" w:pos="-3060"/>
        </w:tabs>
        <w:spacing w:line="380" w:lineRule="exact"/>
        <w:ind w:firstLine="840" w:firstLineChars="350"/>
        <w:rPr>
          <w:rFonts w:hint="eastAsia" w:ascii="宋体" w:hAnsi="宋体"/>
          <w:color w:val="auto"/>
          <w:sz w:val="24"/>
        </w:rPr>
      </w:pPr>
      <w:r>
        <w:rPr>
          <w:rFonts w:hint="eastAsia" w:ascii="宋体" w:hAnsi="宋体"/>
          <w:color w:val="auto"/>
          <w:sz w:val="24"/>
        </w:rPr>
        <w:t>传　　真：68878644</w:t>
      </w:r>
    </w:p>
    <w:p>
      <w:pPr>
        <w:autoSpaceDE w:val="0"/>
        <w:autoSpaceDN w:val="0"/>
        <w:adjustRightInd w:val="0"/>
        <w:spacing w:line="360" w:lineRule="auto"/>
        <w:ind w:firstLine="960" w:firstLineChars="400"/>
        <w:rPr>
          <w:rFonts w:hint="eastAsia" w:ascii="宋体" w:hAnsi="宋体"/>
          <w:color w:val="auto"/>
          <w:sz w:val="24"/>
          <w:lang w:val="zh-CN"/>
        </w:rPr>
      </w:pPr>
      <w:r>
        <w:rPr>
          <w:rFonts w:hint="eastAsia" w:ascii="宋体" w:hAnsi="宋体"/>
          <w:color w:val="auto"/>
          <w:sz w:val="24"/>
        </w:rPr>
        <w:t>联 系 人：朱彦超</w:t>
      </w:r>
    </w:p>
    <w:p>
      <w:pPr>
        <w:tabs>
          <w:tab w:val="left" w:pos="856"/>
        </w:tabs>
        <w:snapToGrid w:val="0"/>
        <w:spacing w:line="400" w:lineRule="exact"/>
        <w:ind w:left="1200"/>
        <w:rPr>
          <w:rFonts w:ascii="宋体" w:hAnsi="宋体" w:cs="微软雅黑"/>
          <w:color w:val="auto"/>
          <w:sz w:val="21"/>
          <w:szCs w:val="21"/>
        </w:rPr>
      </w:pPr>
    </w:p>
    <w:bookmarkEnd w:id="17"/>
    <w:bookmarkEnd w:id="18"/>
    <w:bookmarkEnd w:id="19"/>
    <w:bookmarkEnd w:id="20"/>
    <w:bookmarkEnd w:id="21"/>
    <w:p>
      <w:pPr>
        <w:spacing w:line="400" w:lineRule="exact"/>
        <w:jc w:val="center"/>
        <w:rPr>
          <w:rFonts w:hint="eastAsia" w:ascii="宋体" w:hAnsi="宋体" w:cs="微软雅黑"/>
          <w:b/>
          <w:color w:val="auto"/>
          <w:sz w:val="28"/>
          <w:szCs w:val="28"/>
        </w:rPr>
      </w:pPr>
      <w:r>
        <w:rPr>
          <w:rFonts w:ascii="宋体" w:hAnsi="宋体" w:cs="微软雅黑"/>
          <w:color w:val="auto"/>
          <w:sz w:val="21"/>
          <w:szCs w:val="21"/>
        </w:rPr>
        <w:br w:type="page"/>
      </w:r>
      <w:bookmarkStart w:id="22" w:name="_Toc186274101"/>
      <w:bookmarkStart w:id="23" w:name="_Toc174185149"/>
      <w:bookmarkStart w:id="24" w:name="_Toc180051012"/>
      <w:bookmarkStart w:id="25" w:name="_Toc184013605"/>
      <w:bookmarkStart w:id="26" w:name="_Toc184023104"/>
      <w:r>
        <w:rPr>
          <w:rFonts w:hint="eastAsia" w:ascii="宋体" w:hAnsi="宋体" w:cs="微软雅黑"/>
          <w:b/>
          <w:color w:val="auto"/>
          <w:sz w:val="30"/>
          <w:szCs w:val="30"/>
        </w:rPr>
        <w:t>电子投标文件制作及上传说明</w:t>
      </w:r>
      <w:bookmarkEnd w:id="22"/>
      <w:bookmarkEnd w:id="23"/>
      <w:bookmarkEnd w:id="24"/>
      <w:bookmarkEnd w:id="25"/>
      <w:bookmarkEnd w:id="26"/>
    </w:p>
    <w:p>
      <w:pPr>
        <w:pStyle w:val="10"/>
        <w:rPr>
          <w:color w:val="auto"/>
        </w:rPr>
      </w:pPr>
    </w:p>
    <w:p>
      <w:pPr>
        <w:snapToGrid w:val="0"/>
        <w:spacing w:beforeLines="0" w:afterLines="0" w:line="480" w:lineRule="exact"/>
        <w:ind w:firstLine="482" w:firstLineChars="200"/>
        <w:rPr>
          <w:rFonts w:ascii="宋体" w:hAnsi="宋体" w:cs="微软雅黑"/>
          <w:b/>
          <w:color w:val="auto"/>
          <w:sz w:val="24"/>
          <w:szCs w:val="24"/>
        </w:rPr>
      </w:pPr>
      <w:r>
        <w:rPr>
          <w:rFonts w:hint="eastAsia" w:ascii="宋体" w:hAnsi="宋体" w:cs="微软雅黑"/>
          <w:b/>
          <w:color w:val="auto"/>
          <w:sz w:val="24"/>
          <w:szCs w:val="24"/>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pPr>
        <w:spacing w:beforeLines="0" w:afterLines="0" w:line="480" w:lineRule="exact"/>
        <w:ind w:firstLine="482" w:firstLineChars="200"/>
        <w:rPr>
          <w:rFonts w:hint="eastAsia" w:ascii="宋体" w:hAnsi="宋体" w:cs="微软雅黑"/>
          <w:b/>
          <w:color w:val="auto"/>
          <w:sz w:val="24"/>
          <w:szCs w:val="24"/>
        </w:rPr>
      </w:pPr>
      <w:r>
        <w:rPr>
          <w:rFonts w:hint="eastAsia" w:ascii="宋体" w:hAnsi="宋体" w:cs="微软雅黑"/>
          <w:b/>
          <w:color w:val="auto"/>
          <w:sz w:val="24"/>
          <w:szCs w:val="24"/>
        </w:rPr>
        <w:t>CA数字证书服务热线：010-58511086</w:t>
      </w:r>
    </w:p>
    <w:p>
      <w:pPr>
        <w:spacing w:beforeLines="0" w:afterLines="0" w:line="480" w:lineRule="exact"/>
        <w:ind w:firstLine="482" w:firstLineChars="200"/>
        <w:rPr>
          <w:rFonts w:hint="eastAsia" w:ascii="宋体" w:hAnsi="宋体" w:cs="微软雅黑"/>
          <w:b/>
          <w:color w:val="auto"/>
          <w:sz w:val="24"/>
          <w:szCs w:val="24"/>
        </w:rPr>
      </w:pPr>
      <w:r>
        <w:rPr>
          <w:rFonts w:hint="eastAsia" w:ascii="宋体" w:hAnsi="宋体" w:cs="微软雅黑"/>
          <w:b/>
          <w:color w:val="auto"/>
          <w:sz w:val="24"/>
          <w:szCs w:val="24"/>
        </w:rPr>
        <w:t>电子营业执照服务热线：400-699-7000</w:t>
      </w:r>
    </w:p>
    <w:p>
      <w:pPr>
        <w:spacing w:beforeLines="0" w:afterLines="0" w:line="480" w:lineRule="exact"/>
        <w:ind w:firstLine="482" w:firstLineChars="200"/>
        <w:rPr>
          <w:rFonts w:ascii="宋体" w:hAnsi="宋体" w:cs="微软雅黑"/>
          <w:b/>
          <w:color w:val="auto"/>
          <w:sz w:val="24"/>
          <w:szCs w:val="24"/>
        </w:rPr>
      </w:pPr>
      <w:r>
        <w:rPr>
          <w:rFonts w:hint="eastAsia" w:ascii="宋体" w:hAnsi="宋体" w:cs="微软雅黑"/>
          <w:b/>
          <w:color w:val="auto"/>
          <w:sz w:val="24"/>
          <w:szCs w:val="24"/>
        </w:rPr>
        <w:t>平台技术支持服务热线：010-86483801</w:t>
      </w:r>
    </w:p>
    <w:p>
      <w:pPr>
        <w:spacing w:beforeLines="0" w:afterLines="0" w:line="480" w:lineRule="exact"/>
        <w:ind w:firstLine="480" w:firstLineChars="200"/>
        <w:rPr>
          <w:rFonts w:ascii="宋体" w:hAnsi="宋体" w:cs="微软雅黑"/>
          <w:color w:val="auto"/>
          <w:sz w:val="24"/>
          <w:szCs w:val="24"/>
        </w:rPr>
      </w:pPr>
    </w:p>
    <w:p>
      <w:pPr>
        <w:numPr>
          <w:ilvl w:val="0"/>
          <w:numId w:val="5"/>
        </w:numPr>
        <w:snapToGrid w:val="0"/>
        <w:spacing w:beforeLines="0" w:afterLines="0" w:line="480" w:lineRule="exact"/>
        <w:rPr>
          <w:rFonts w:ascii="宋体" w:hAnsi="宋体" w:cs="微软雅黑"/>
          <w:color w:val="auto"/>
          <w:sz w:val="24"/>
          <w:szCs w:val="24"/>
        </w:rPr>
      </w:pPr>
      <w:r>
        <w:rPr>
          <w:rFonts w:hint="eastAsia" w:ascii="宋体" w:hAnsi="宋体" w:cs="微软雅黑"/>
          <w:color w:val="auto"/>
          <w:sz w:val="24"/>
          <w:szCs w:val="24"/>
        </w:rPr>
        <w:t>获取电子招标文件</w:t>
      </w:r>
    </w:p>
    <w:p>
      <w:pPr>
        <w:spacing w:beforeLines="0" w:afterLines="0" w:line="480" w:lineRule="exact"/>
        <w:ind w:firstLine="480" w:firstLineChars="200"/>
        <w:rPr>
          <w:rFonts w:ascii="宋体" w:hAnsi="宋体" w:cs="微软雅黑"/>
          <w:color w:val="auto"/>
          <w:sz w:val="24"/>
          <w:szCs w:val="24"/>
        </w:rPr>
      </w:pPr>
      <w:r>
        <w:rPr>
          <w:rFonts w:hint="eastAsia" w:ascii="宋体" w:hAnsi="宋体" w:cs="微软雅黑"/>
          <w:color w:val="auto"/>
          <w:sz w:val="24"/>
          <w:szCs w:val="24"/>
        </w:rPr>
        <w:t>供应商持CA数字认证证书</w:t>
      </w:r>
      <w:r>
        <w:rPr>
          <w:rFonts w:hint="eastAsia" w:ascii="宋体" w:hAnsi="宋体" w:cs="微软雅黑"/>
          <w:color w:val="auto"/>
          <w:sz w:val="24"/>
          <w:szCs w:val="24"/>
          <w:lang w:eastAsia="zh-CN"/>
        </w:rPr>
        <w:t>或电子营业执照</w:t>
      </w:r>
      <w:r>
        <w:rPr>
          <w:rFonts w:hint="eastAsia" w:ascii="宋体" w:hAnsi="宋体" w:cs="微软雅黑"/>
          <w:color w:val="auto"/>
          <w:sz w:val="24"/>
          <w:szCs w:val="24"/>
        </w:rPr>
        <w:t>登录北京市政府采购电子交易平台获取电子招标文件。未在规定期限内通过北京市政府采购电子交易平台获取本项目招标文件的投标无效。</w:t>
      </w:r>
    </w:p>
    <w:p>
      <w:pPr>
        <w:numPr>
          <w:ilvl w:val="0"/>
          <w:numId w:val="5"/>
        </w:numPr>
        <w:snapToGrid w:val="0"/>
        <w:spacing w:beforeLines="0" w:afterLines="0" w:line="480" w:lineRule="exact"/>
        <w:rPr>
          <w:rFonts w:ascii="宋体" w:hAnsi="宋体" w:cs="微软雅黑"/>
          <w:color w:val="auto"/>
          <w:sz w:val="24"/>
          <w:szCs w:val="24"/>
        </w:rPr>
      </w:pPr>
      <w:r>
        <w:rPr>
          <w:rFonts w:hint="eastAsia" w:ascii="宋体" w:hAnsi="宋体" w:cs="微软雅黑"/>
          <w:color w:val="auto"/>
          <w:sz w:val="24"/>
          <w:szCs w:val="24"/>
        </w:rPr>
        <w:t>编制电子投标文件</w:t>
      </w:r>
    </w:p>
    <w:p>
      <w:pPr>
        <w:spacing w:beforeLines="0" w:afterLines="0" w:line="480" w:lineRule="exact"/>
        <w:ind w:firstLine="480" w:firstLineChars="200"/>
        <w:rPr>
          <w:rFonts w:ascii="宋体" w:hAnsi="宋体" w:cs="微软雅黑"/>
          <w:color w:val="auto"/>
          <w:sz w:val="24"/>
          <w:szCs w:val="24"/>
        </w:rPr>
      </w:pPr>
      <w:r>
        <w:rPr>
          <w:rFonts w:hint="eastAsia" w:ascii="宋体" w:hAnsi="宋体" w:cs="微软雅黑"/>
          <w:color w:val="auto"/>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snapToGrid w:val="0"/>
        <w:spacing w:beforeLines="0" w:afterLines="0" w:line="480" w:lineRule="exact"/>
        <w:ind w:firstLine="482" w:firstLineChars="200"/>
        <w:rPr>
          <w:rFonts w:ascii="宋体" w:hAnsi="宋体" w:cs="微软雅黑"/>
          <w:b/>
          <w:color w:val="auto"/>
          <w:sz w:val="24"/>
          <w:szCs w:val="24"/>
        </w:rPr>
      </w:pPr>
      <w:r>
        <w:rPr>
          <w:rFonts w:hint="eastAsia" w:ascii="宋体" w:hAnsi="宋体" w:cs="微软雅黑"/>
          <w:b/>
          <w:color w:val="auto"/>
          <w:sz w:val="24"/>
          <w:szCs w:val="24"/>
        </w:rPr>
        <w:t>特别提示：请投标人务必使用符合北京市政府采购电子交易平台功能的</w:t>
      </w:r>
      <w:r>
        <w:rPr>
          <w:rFonts w:hint="eastAsia" w:ascii="宋体" w:hAnsi="宋体" w:cs="微软雅黑"/>
          <w:b/>
          <w:color w:val="auto"/>
          <w:sz w:val="24"/>
          <w:szCs w:val="24"/>
          <w:lang w:eastAsia="zh-CN"/>
        </w:rPr>
        <w:t>电子营业执照或</w:t>
      </w:r>
      <w:r>
        <w:rPr>
          <w:rFonts w:hint="eastAsia" w:ascii="宋体" w:hAnsi="宋体" w:cs="微软雅黑"/>
          <w:b/>
          <w:color w:val="auto"/>
          <w:sz w:val="24"/>
          <w:szCs w:val="24"/>
        </w:rPr>
        <w:t>CA</w:t>
      </w:r>
      <w:r>
        <w:rPr>
          <w:rFonts w:hint="eastAsia" w:ascii="宋体" w:hAnsi="宋体" w:cs="微软雅黑"/>
          <w:b/>
          <w:color w:val="auto"/>
          <w:sz w:val="24"/>
          <w:szCs w:val="24"/>
          <w:lang w:eastAsia="zh-CN"/>
        </w:rPr>
        <w:t>数字</w:t>
      </w:r>
      <w:r>
        <w:rPr>
          <w:rFonts w:hint="eastAsia" w:ascii="宋体" w:hAnsi="宋体" w:cs="微软雅黑"/>
          <w:b/>
          <w:color w:val="auto"/>
          <w:sz w:val="24"/>
          <w:szCs w:val="24"/>
        </w:rPr>
        <w:t>认证证书进行上述操作，操作同时不要插入其它认证证书。</w:t>
      </w:r>
    </w:p>
    <w:p>
      <w:pPr>
        <w:numPr>
          <w:ilvl w:val="0"/>
          <w:numId w:val="5"/>
        </w:numPr>
        <w:snapToGrid w:val="0"/>
        <w:spacing w:beforeLines="0" w:afterLines="0" w:line="480" w:lineRule="exact"/>
        <w:rPr>
          <w:rFonts w:ascii="宋体" w:hAnsi="宋体" w:cs="微软雅黑"/>
          <w:color w:val="auto"/>
          <w:sz w:val="24"/>
          <w:szCs w:val="24"/>
        </w:rPr>
      </w:pPr>
      <w:r>
        <w:rPr>
          <w:rFonts w:hint="eastAsia" w:ascii="宋体" w:hAnsi="宋体" w:cs="微软雅黑"/>
          <w:color w:val="auto"/>
          <w:sz w:val="24"/>
          <w:szCs w:val="24"/>
        </w:rPr>
        <w:t>提交电子投标文件</w:t>
      </w:r>
    </w:p>
    <w:p>
      <w:pPr>
        <w:spacing w:beforeLines="0" w:afterLines="0" w:line="480" w:lineRule="exact"/>
        <w:ind w:firstLine="480" w:firstLineChars="200"/>
        <w:rPr>
          <w:rFonts w:ascii="宋体" w:hAnsi="宋体" w:cs="微软雅黑"/>
          <w:color w:val="auto"/>
          <w:sz w:val="24"/>
          <w:szCs w:val="24"/>
        </w:rPr>
      </w:pPr>
      <w:r>
        <w:rPr>
          <w:rFonts w:hint="eastAsia" w:ascii="宋体" w:hAnsi="宋体" w:cs="微软雅黑"/>
          <w:color w:val="auto"/>
          <w:sz w:val="24"/>
          <w:szCs w:val="24"/>
        </w:rPr>
        <w:t>供应商应于投标截止时间前在北京市政府采购电子交易平台提交电子投标文件，上传电子投标文件过程中请保持与互联网的连接畅通。</w:t>
      </w:r>
    </w:p>
    <w:p>
      <w:pPr>
        <w:numPr>
          <w:ilvl w:val="0"/>
          <w:numId w:val="5"/>
        </w:numPr>
        <w:snapToGrid w:val="0"/>
        <w:spacing w:beforeLines="0" w:afterLines="0" w:line="480" w:lineRule="exact"/>
        <w:rPr>
          <w:rFonts w:ascii="宋体" w:hAnsi="宋体" w:cs="微软雅黑"/>
          <w:color w:val="auto"/>
          <w:sz w:val="24"/>
          <w:szCs w:val="24"/>
        </w:rPr>
      </w:pPr>
      <w:r>
        <w:rPr>
          <w:rFonts w:hint="eastAsia" w:ascii="宋体" w:hAnsi="宋体" w:cs="微软雅黑"/>
          <w:color w:val="auto"/>
          <w:sz w:val="24"/>
          <w:szCs w:val="24"/>
        </w:rPr>
        <w:t>电子开标</w:t>
      </w:r>
    </w:p>
    <w:p>
      <w:pPr>
        <w:spacing w:beforeLines="0" w:afterLines="0" w:line="480" w:lineRule="exact"/>
        <w:ind w:firstLine="480" w:firstLineChars="200"/>
        <w:rPr>
          <w:rFonts w:ascii="宋体" w:hAnsi="宋体" w:cs="微软雅黑"/>
          <w:color w:val="auto"/>
          <w:sz w:val="21"/>
          <w:szCs w:val="21"/>
        </w:rPr>
      </w:pPr>
      <w:r>
        <w:rPr>
          <w:rFonts w:hint="eastAsia" w:ascii="宋体" w:hAnsi="宋体" w:cs="微软雅黑"/>
          <w:color w:val="auto"/>
          <w:sz w:val="24"/>
          <w:szCs w:val="24"/>
        </w:rPr>
        <w:t>供应商在开标地点使用 CA 数字证书或电子营业执照登录北京市政府采购电子交易平台进行电子开标。</w:t>
      </w:r>
      <w:r>
        <w:rPr>
          <w:rFonts w:ascii="宋体" w:hAnsi="宋体" w:cs="微软雅黑"/>
          <w:color w:val="auto"/>
          <w:sz w:val="21"/>
          <w:szCs w:val="21"/>
        </w:rPr>
        <w:br w:type="page"/>
      </w:r>
    </w:p>
    <w:p>
      <w:pPr>
        <w:pStyle w:val="48"/>
        <w:snapToGrid w:val="0"/>
        <w:spacing w:before="0" w:after="0"/>
        <w:ind w:left="0"/>
        <w:rPr>
          <w:rFonts w:ascii="宋体" w:hAnsi="宋体"/>
          <w:color w:val="auto"/>
        </w:rPr>
      </w:pPr>
      <w:bookmarkStart w:id="27" w:name="_Toc174185152"/>
      <w:bookmarkStart w:id="28" w:name="_Toc466015311"/>
      <w:bookmarkStart w:id="29" w:name="_Toc22558"/>
      <w:bookmarkStart w:id="30" w:name="_Toc186274104"/>
      <w:r>
        <w:rPr>
          <w:rFonts w:hint="eastAsia" w:ascii="宋体" w:hAnsi="宋体"/>
          <w:color w:val="auto"/>
        </w:rPr>
        <w:t>投标人须知前附表</w:t>
      </w:r>
      <w:bookmarkEnd w:id="27"/>
      <w:bookmarkEnd w:id="28"/>
      <w:bookmarkEnd w:id="29"/>
      <w:bookmarkEnd w:id="30"/>
    </w:p>
    <w:p>
      <w:pPr>
        <w:pStyle w:val="48"/>
        <w:numPr>
          <w:ilvl w:val="0"/>
          <w:numId w:val="0"/>
        </w:numPr>
        <w:snapToGrid w:val="0"/>
        <w:spacing w:before="0" w:after="0"/>
        <w:jc w:val="left"/>
        <w:rPr>
          <w:rFonts w:cs="微软雅黑"/>
          <w:color w:val="auto"/>
          <w:sz w:val="21"/>
          <w:szCs w:val="21"/>
        </w:rPr>
      </w:pPr>
      <w:r>
        <w:rPr>
          <w:rFonts w:hint="eastAsia" w:cs="微软雅黑"/>
          <w:color w:val="auto"/>
          <w:sz w:val="21"/>
          <w:szCs w:val="21"/>
        </w:rPr>
        <w:t xml:space="preserve">   </w:t>
      </w:r>
      <w:r>
        <w:rPr>
          <w:rFonts w:hint="eastAsia" w:cs="微软雅黑"/>
          <w:color w:val="auto"/>
          <w:sz w:val="24"/>
          <w:szCs w:val="24"/>
        </w:rPr>
        <w:t xml:space="preserve"> 投标人应按以下要求提供投标文件（其中带★号为实质性响应条款，若未按要求响应，将做无效投标处理）序号</w:t>
      </w:r>
    </w:p>
    <w:p>
      <w:pPr>
        <w:pStyle w:val="48"/>
        <w:numPr>
          <w:ilvl w:val="0"/>
          <w:numId w:val="0"/>
        </w:numPr>
        <w:snapToGrid w:val="0"/>
        <w:spacing w:before="0" w:after="0"/>
        <w:jc w:val="left"/>
        <w:rPr>
          <w:rFonts w:cs="微软雅黑"/>
          <w:color w:val="auto"/>
          <w:sz w:val="21"/>
          <w:szCs w:val="21"/>
        </w:rPr>
      </w:pPr>
    </w:p>
    <w:tbl>
      <w:tblPr>
        <w:tblStyle w:val="3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806"/>
        <w:gridCol w:w="432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Align w:val="center"/>
          </w:tcPr>
          <w:p>
            <w:pPr>
              <w:kinsoku w:val="0"/>
              <w:overflowPunct w:val="0"/>
              <w:autoSpaceDE w:val="0"/>
              <w:autoSpaceDN w:val="0"/>
              <w:snapToGrid w:val="0"/>
              <w:spacing w:line="320" w:lineRule="exact"/>
              <w:jc w:val="left"/>
              <w:textAlignment w:val="auto"/>
              <w:rPr>
                <w:rFonts w:ascii="宋体" w:hAnsi="宋体" w:cs="微软雅黑"/>
                <w:b/>
                <w:bCs/>
                <w:color w:val="auto"/>
                <w:sz w:val="24"/>
                <w:szCs w:val="24"/>
              </w:rPr>
            </w:pPr>
          </w:p>
        </w:tc>
        <w:tc>
          <w:tcPr>
            <w:tcW w:w="1806" w:type="dxa"/>
            <w:vAlign w:val="center"/>
          </w:tcPr>
          <w:p>
            <w:pPr>
              <w:kinsoku w:val="0"/>
              <w:overflowPunct w:val="0"/>
              <w:autoSpaceDE w:val="0"/>
              <w:autoSpaceDN w:val="0"/>
              <w:snapToGrid w:val="0"/>
              <w:spacing w:line="320" w:lineRule="exact"/>
              <w:jc w:val="center"/>
              <w:textAlignment w:val="auto"/>
              <w:rPr>
                <w:rFonts w:ascii="宋体" w:hAnsi="宋体" w:cs="微软雅黑"/>
                <w:b/>
                <w:bCs/>
                <w:color w:val="auto"/>
                <w:sz w:val="24"/>
                <w:szCs w:val="24"/>
              </w:rPr>
            </w:pPr>
            <w:r>
              <w:rPr>
                <w:rFonts w:hint="eastAsia" w:ascii="宋体" w:hAnsi="宋体" w:cs="微软雅黑"/>
                <w:b/>
                <w:bCs/>
                <w:color w:val="auto"/>
                <w:sz w:val="24"/>
                <w:szCs w:val="24"/>
              </w:rPr>
              <w:t>项  目</w:t>
            </w:r>
          </w:p>
        </w:tc>
        <w:tc>
          <w:tcPr>
            <w:tcW w:w="4320" w:type="dxa"/>
            <w:vAlign w:val="center"/>
          </w:tcPr>
          <w:p>
            <w:pPr>
              <w:pStyle w:val="13"/>
              <w:kinsoku w:val="0"/>
              <w:overflowPunct w:val="0"/>
              <w:autoSpaceDE w:val="0"/>
              <w:autoSpaceDN w:val="0"/>
              <w:adjustRightInd w:val="0"/>
              <w:snapToGrid w:val="0"/>
              <w:spacing w:line="320" w:lineRule="exact"/>
              <w:jc w:val="center"/>
              <w:rPr>
                <w:rFonts w:hAnsi="宋体" w:cs="微软雅黑"/>
                <w:b/>
                <w:bCs/>
                <w:color w:val="auto"/>
                <w:sz w:val="24"/>
                <w:szCs w:val="24"/>
              </w:rPr>
            </w:pPr>
            <w:r>
              <w:rPr>
                <w:rFonts w:hint="eastAsia" w:hAnsi="宋体" w:cs="微软雅黑"/>
                <w:b/>
                <w:bCs/>
                <w:color w:val="auto"/>
                <w:sz w:val="24"/>
                <w:szCs w:val="24"/>
              </w:rPr>
              <w:t>内  容</w:t>
            </w:r>
          </w:p>
        </w:tc>
        <w:tc>
          <w:tcPr>
            <w:tcW w:w="2490" w:type="dxa"/>
            <w:vAlign w:val="center"/>
          </w:tcPr>
          <w:p>
            <w:pPr>
              <w:pStyle w:val="13"/>
              <w:kinsoku w:val="0"/>
              <w:overflowPunct w:val="0"/>
              <w:autoSpaceDE w:val="0"/>
              <w:autoSpaceDN w:val="0"/>
              <w:adjustRightInd w:val="0"/>
              <w:snapToGrid w:val="0"/>
              <w:spacing w:line="320" w:lineRule="exact"/>
              <w:jc w:val="center"/>
              <w:rPr>
                <w:rFonts w:hAnsi="宋体" w:cs="微软雅黑"/>
                <w:b/>
                <w:bCs/>
                <w:color w:val="auto"/>
                <w:kern w:val="0"/>
                <w:sz w:val="24"/>
                <w:szCs w:val="24"/>
              </w:rPr>
            </w:pPr>
            <w:r>
              <w:rPr>
                <w:rFonts w:hint="eastAsia" w:hAnsi="宋体" w:cs="微软雅黑"/>
                <w:b/>
                <w:bCs/>
                <w:color w:val="auto"/>
                <w:kern w:val="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jc w:val="center"/>
              <w:rPr>
                <w:rFonts w:ascii="宋体" w:hAnsi="宋体"/>
                <w:color w:val="auto"/>
                <w:sz w:val="24"/>
                <w:szCs w:val="24"/>
              </w:rPr>
            </w:pPr>
            <w:r>
              <w:rPr>
                <w:rFonts w:hint="eastAsia" w:ascii="宋体" w:hAnsi="宋体" w:cs="微软雅黑"/>
                <w:color w:val="auto"/>
                <w:sz w:val="24"/>
                <w:szCs w:val="24"/>
              </w:rPr>
              <w:t>电子投标文件</w:t>
            </w:r>
            <w:r>
              <w:rPr>
                <w:rFonts w:hint="eastAsia" w:ascii="宋体" w:hAnsi="宋体" w:cs="微软雅黑"/>
                <w:color w:val="auto"/>
                <w:sz w:val="24"/>
                <w:szCs w:val="24"/>
                <w:lang w:eastAsia="zh-CN"/>
              </w:rPr>
              <w:t>组成</w:t>
            </w:r>
          </w:p>
        </w:tc>
        <w:tc>
          <w:tcPr>
            <w:tcW w:w="4320" w:type="dxa"/>
            <w:vAlign w:val="center"/>
          </w:tcPr>
          <w:p>
            <w:pPr>
              <w:pStyle w:val="13"/>
              <w:kinsoku w:val="0"/>
              <w:overflowPunct w:val="0"/>
              <w:autoSpaceDE w:val="0"/>
              <w:autoSpaceDN w:val="0"/>
              <w:spacing w:line="320" w:lineRule="exact"/>
              <w:rPr>
                <w:rFonts w:hAnsi="宋体"/>
                <w:color w:val="auto"/>
                <w:sz w:val="24"/>
                <w:szCs w:val="24"/>
              </w:rPr>
            </w:pPr>
            <w:r>
              <w:rPr>
                <w:rFonts w:hint="eastAsia" w:hAnsi="宋体"/>
                <w:color w:val="auto"/>
                <w:kern w:val="0"/>
                <w:sz w:val="24"/>
                <w:szCs w:val="24"/>
              </w:rPr>
              <w:t>提交电子投标文件：</w:t>
            </w:r>
          </w:p>
          <w:p>
            <w:pPr>
              <w:spacing w:line="360" w:lineRule="auto"/>
              <w:rPr>
                <w:rFonts w:hint="eastAsia" w:ascii="宋体" w:hAnsi="宋体"/>
                <w:color w:val="auto"/>
                <w:sz w:val="24"/>
                <w:szCs w:val="24"/>
              </w:rPr>
            </w:pPr>
            <w:r>
              <w:rPr>
                <w:rFonts w:hint="eastAsia" w:ascii="宋体" w:hAnsi="宋体"/>
                <w:color w:val="auto"/>
                <w:sz w:val="24"/>
                <w:szCs w:val="24"/>
              </w:rPr>
              <w:t>1、资格证明文件</w:t>
            </w:r>
          </w:p>
          <w:p>
            <w:pPr>
              <w:spacing w:line="360" w:lineRule="auto"/>
              <w:rPr>
                <w:rFonts w:hint="eastAsia" w:ascii="宋体" w:hAnsi="宋体"/>
                <w:color w:val="auto"/>
                <w:sz w:val="24"/>
                <w:szCs w:val="24"/>
              </w:rPr>
            </w:pPr>
            <w:r>
              <w:rPr>
                <w:rFonts w:hint="eastAsia" w:ascii="宋体" w:hAnsi="宋体"/>
                <w:color w:val="auto"/>
                <w:sz w:val="24"/>
                <w:szCs w:val="24"/>
              </w:rPr>
              <w:t>1-1★营业执照</w:t>
            </w:r>
          </w:p>
          <w:p>
            <w:pPr>
              <w:spacing w:line="360" w:lineRule="auto"/>
              <w:rPr>
                <w:rFonts w:hint="eastAsia" w:ascii="宋体" w:hAnsi="宋体"/>
                <w:color w:val="auto"/>
                <w:sz w:val="24"/>
                <w:szCs w:val="24"/>
              </w:rPr>
            </w:pPr>
            <w:r>
              <w:rPr>
                <w:rFonts w:hint="eastAsia" w:ascii="宋体" w:hAnsi="宋体"/>
                <w:color w:val="auto"/>
                <w:sz w:val="24"/>
                <w:szCs w:val="24"/>
              </w:rPr>
              <w:t>1-2★法定代表人授权书</w:t>
            </w:r>
          </w:p>
          <w:p>
            <w:pPr>
              <w:spacing w:line="360" w:lineRule="auto"/>
              <w:rPr>
                <w:rFonts w:hint="eastAsia" w:ascii="宋体" w:hAnsi="宋体"/>
                <w:color w:val="auto"/>
                <w:sz w:val="24"/>
                <w:szCs w:val="24"/>
              </w:rPr>
            </w:pPr>
            <w:r>
              <w:rPr>
                <w:rFonts w:hint="eastAsia" w:ascii="宋体" w:hAnsi="宋体"/>
                <w:color w:val="auto"/>
                <w:sz w:val="24"/>
                <w:szCs w:val="24"/>
              </w:rPr>
              <w:t>1-3★投标人资格条件承诺书</w:t>
            </w:r>
          </w:p>
          <w:p>
            <w:pPr>
              <w:spacing w:line="360" w:lineRule="auto"/>
              <w:rPr>
                <w:rFonts w:hint="eastAsia" w:ascii="宋体" w:hAnsi="宋体"/>
                <w:color w:val="auto"/>
                <w:sz w:val="24"/>
                <w:szCs w:val="24"/>
              </w:rPr>
            </w:pPr>
            <w:r>
              <w:rPr>
                <w:rFonts w:hint="eastAsia" w:ascii="宋体" w:hAnsi="宋体"/>
                <w:color w:val="auto"/>
                <w:sz w:val="24"/>
                <w:szCs w:val="24"/>
              </w:rPr>
              <w:t>1-4★</w:t>
            </w:r>
            <w:r>
              <w:rPr>
                <w:rFonts w:hint="eastAsia" w:hAnsi="宋体"/>
                <w:color w:val="auto"/>
                <w:sz w:val="24"/>
                <w:szCs w:val="24"/>
              </w:rPr>
              <w:t>投标人信用记录</w:t>
            </w:r>
          </w:p>
          <w:p>
            <w:pPr>
              <w:spacing w:line="360" w:lineRule="auto"/>
              <w:rPr>
                <w:rFonts w:hint="eastAsia" w:hAnsi="宋体"/>
                <w:color w:val="auto"/>
                <w:sz w:val="24"/>
                <w:szCs w:val="24"/>
              </w:rPr>
            </w:pPr>
            <w:r>
              <w:rPr>
                <w:rFonts w:hint="eastAsia" w:ascii="宋体" w:hAnsi="宋体"/>
                <w:color w:val="auto"/>
                <w:sz w:val="24"/>
                <w:szCs w:val="24"/>
              </w:rPr>
              <w:t>1-5投标人认为有必要提供的其他资格证明文件</w:t>
            </w:r>
          </w:p>
          <w:p>
            <w:pPr>
              <w:spacing w:line="360" w:lineRule="auto"/>
              <w:rPr>
                <w:rFonts w:hint="eastAsia" w:ascii="宋体" w:hAnsi="宋体"/>
                <w:color w:val="auto"/>
                <w:sz w:val="24"/>
                <w:szCs w:val="24"/>
              </w:rPr>
            </w:pPr>
            <w:r>
              <w:rPr>
                <w:rFonts w:hint="eastAsia" w:ascii="宋体" w:hAnsi="宋体"/>
                <w:color w:val="auto"/>
                <w:sz w:val="24"/>
                <w:szCs w:val="24"/>
              </w:rPr>
              <w:t>2、投标书</w:t>
            </w:r>
          </w:p>
          <w:p>
            <w:pPr>
              <w:spacing w:line="360" w:lineRule="auto"/>
              <w:rPr>
                <w:rFonts w:hint="eastAsia" w:ascii="宋体" w:hAnsi="宋体"/>
                <w:color w:val="auto"/>
                <w:sz w:val="24"/>
                <w:szCs w:val="24"/>
              </w:rPr>
            </w:pPr>
            <w:r>
              <w:rPr>
                <w:rFonts w:hint="eastAsia" w:ascii="宋体" w:hAnsi="宋体"/>
                <w:color w:val="auto"/>
                <w:sz w:val="24"/>
                <w:szCs w:val="24"/>
              </w:rPr>
              <w:t>3、投标一览表</w:t>
            </w:r>
          </w:p>
          <w:p>
            <w:pPr>
              <w:spacing w:line="360" w:lineRule="auto"/>
              <w:rPr>
                <w:rFonts w:hint="eastAsia"/>
                <w:bCs/>
                <w:color w:val="auto"/>
                <w:sz w:val="24"/>
                <w:szCs w:val="24"/>
              </w:rPr>
            </w:pPr>
            <w:r>
              <w:rPr>
                <w:rFonts w:hint="eastAsia" w:ascii="宋体" w:hAnsi="宋体"/>
                <w:color w:val="auto"/>
                <w:sz w:val="24"/>
                <w:szCs w:val="24"/>
              </w:rPr>
              <w:t>4、投标</w:t>
            </w:r>
            <w:r>
              <w:rPr>
                <w:rFonts w:hint="eastAsia" w:ascii="宋体" w:hAnsi="宋体"/>
                <w:color w:val="auto"/>
                <w:sz w:val="24"/>
                <w:szCs w:val="24"/>
                <w:lang w:eastAsia="zh-CN"/>
              </w:rPr>
              <w:t>分项</w:t>
            </w:r>
            <w:r>
              <w:rPr>
                <w:rFonts w:hint="eastAsia" w:ascii="宋体" w:hAnsi="宋体"/>
                <w:color w:val="auto"/>
                <w:sz w:val="24"/>
                <w:szCs w:val="24"/>
              </w:rPr>
              <w:t>报价表</w:t>
            </w:r>
          </w:p>
          <w:p>
            <w:pPr>
              <w:spacing w:line="360" w:lineRule="auto"/>
              <w:rPr>
                <w:rFonts w:hint="eastAsia"/>
                <w:bCs/>
                <w:color w:val="auto"/>
                <w:sz w:val="24"/>
                <w:szCs w:val="24"/>
              </w:rPr>
            </w:pPr>
            <w:r>
              <w:rPr>
                <w:rFonts w:hint="eastAsia"/>
                <w:bCs/>
                <w:color w:val="auto"/>
                <w:sz w:val="24"/>
                <w:szCs w:val="24"/>
              </w:rPr>
              <w:t>5、偏离表</w:t>
            </w:r>
          </w:p>
          <w:p>
            <w:pPr>
              <w:spacing w:line="360" w:lineRule="auto"/>
              <w:rPr>
                <w:rFonts w:hint="eastAsia" w:ascii="宋体" w:hAnsi="宋体" w:eastAsia="宋体" w:cs="宋体"/>
                <w:color w:val="auto"/>
                <w:sz w:val="24"/>
                <w:szCs w:val="24"/>
              </w:rPr>
            </w:pPr>
            <w:r>
              <w:rPr>
                <w:rFonts w:hint="eastAsia" w:ascii="宋体" w:hAnsi="宋体"/>
                <w:color w:val="auto"/>
                <w:sz w:val="24"/>
                <w:szCs w:val="24"/>
              </w:rPr>
              <w:t>6、</w:t>
            </w:r>
            <w:bookmarkStart w:id="31" w:name="_Toc516367023"/>
            <w:bookmarkStart w:id="32" w:name="_Toc520356153"/>
            <w:r>
              <w:rPr>
                <w:rFonts w:hint="eastAsia" w:hAnsi="宋体"/>
                <w:color w:val="auto"/>
                <w:sz w:val="24"/>
                <w:szCs w:val="24"/>
              </w:rPr>
              <w:t>证明投标货物的合格性和符合招标文件规定的文件</w:t>
            </w:r>
            <w:bookmarkEnd w:id="31"/>
            <w:bookmarkEnd w:id="32"/>
          </w:p>
          <w:p>
            <w:pPr>
              <w:tabs>
                <w:tab w:val="left" w:pos="2160"/>
              </w:tabs>
              <w:spacing w:line="360" w:lineRule="auto"/>
              <w:rPr>
                <w:rFonts w:hint="eastAsia" w:ascii="宋体" w:hAnsi="宋体" w:cs="宋体"/>
                <w:color w:val="auto"/>
                <w:sz w:val="24"/>
                <w:szCs w:val="24"/>
                <w:lang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cs="宋体"/>
                <w:color w:val="auto"/>
                <w:sz w:val="24"/>
                <w:szCs w:val="24"/>
                <w:lang w:eastAsia="zh-CN"/>
              </w:rPr>
              <w:t>投标方案</w:t>
            </w:r>
          </w:p>
          <w:p>
            <w:pPr>
              <w:tabs>
                <w:tab w:val="left" w:pos="2160"/>
              </w:tabs>
              <w:spacing w:line="360" w:lineRule="auto"/>
              <w:rPr>
                <w:rFonts w:hint="eastAsia" w:ascii="宋体" w:hAnsi="宋体" w:eastAsia="宋体" w:cs="宋体"/>
                <w:bCs/>
                <w:color w:val="auto"/>
                <w:sz w:val="24"/>
                <w:szCs w:val="24"/>
              </w:rPr>
            </w:pP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售后</w:t>
            </w:r>
            <w:r>
              <w:rPr>
                <w:rFonts w:hint="eastAsia" w:ascii="宋体" w:hAnsi="宋体" w:eastAsia="宋体" w:cs="宋体"/>
                <w:bCs/>
                <w:color w:val="auto"/>
                <w:sz w:val="24"/>
                <w:szCs w:val="24"/>
                <w:lang w:eastAsia="zh-CN"/>
              </w:rPr>
              <w:t>服务方案</w:t>
            </w:r>
          </w:p>
          <w:p>
            <w:pPr>
              <w:tabs>
                <w:tab w:val="left" w:pos="2160"/>
              </w:tabs>
              <w:spacing w:line="360" w:lineRule="auto"/>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9</w:t>
            </w:r>
            <w:r>
              <w:rPr>
                <w:rFonts w:hint="eastAsia" w:ascii="宋体" w:hAnsi="宋体" w:eastAsia="宋体" w:cs="宋体"/>
                <w:bCs/>
                <w:color w:val="auto"/>
                <w:sz w:val="24"/>
                <w:szCs w:val="24"/>
              </w:rPr>
              <w:t>、</w:t>
            </w:r>
            <w:r>
              <w:rPr>
                <w:rFonts w:hint="eastAsia" w:ascii="宋体" w:hAnsi="宋体" w:cs="宋体"/>
                <w:bCs/>
                <w:color w:val="auto"/>
                <w:sz w:val="24"/>
                <w:szCs w:val="24"/>
                <w:lang w:eastAsia="zh-CN"/>
              </w:rPr>
              <w:t>投标人业绩</w:t>
            </w:r>
          </w:p>
          <w:p>
            <w:pPr>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1</w:t>
            </w:r>
            <w:r>
              <w:rPr>
                <w:rFonts w:hint="eastAsia" w:ascii="宋体" w:hAnsi="宋体" w:cs="宋体"/>
                <w:bCs/>
                <w:color w:val="auto"/>
                <w:sz w:val="24"/>
                <w:szCs w:val="24"/>
                <w:lang w:val="en-US" w:eastAsia="zh-CN"/>
              </w:rPr>
              <w:t>0</w:t>
            </w:r>
            <w:r>
              <w:rPr>
                <w:rFonts w:hint="eastAsia" w:ascii="宋体" w:hAnsi="宋体" w:eastAsia="宋体" w:cs="宋体"/>
                <w:bCs/>
                <w:color w:val="auto"/>
                <w:sz w:val="24"/>
                <w:szCs w:val="24"/>
                <w:lang w:val="en-US" w:eastAsia="zh-CN"/>
              </w:rPr>
              <w:t>、</w:t>
            </w:r>
            <w:r>
              <w:rPr>
                <w:rFonts w:hint="eastAsia" w:ascii="宋体" w:hAnsi="宋体" w:cs="宋体"/>
                <w:bCs/>
                <w:color w:val="auto"/>
                <w:sz w:val="24"/>
                <w:szCs w:val="24"/>
                <w:lang w:val="en-US" w:eastAsia="zh-CN"/>
              </w:rPr>
              <w:t>中小企业</w:t>
            </w:r>
            <w:r>
              <w:rPr>
                <w:rFonts w:hint="eastAsia" w:ascii="宋体" w:hAnsi="宋体" w:eastAsia="宋体" w:cs="宋体"/>
                <w:color w:val="auto"/>
                <w:sz w:val="24"/>
                <w:szCs w:val="24"/>
              </w:rPr>
              <w:t>声明函</w:t>
            </w:r>
          </w:p>
          <w:p>
            <w:pPr>
              <w:pStyle w:val="13"/>
              <w:kinsoku w:val="0"/>
              <w:overflowPunct w:val="0"/>
              <w:autoSpaceDE w:val="0"/>
              <w:autoSpaceDN w:val="0"/>
              <w:spacing w:line="320" w:lineRule="exact"/>
              <w:rPr>
                <w:rFonts w:hAnsi="宋体"/>
                <w:color w:val="auto"/>
                <w:sz w:val="24"/>
                <w:szCs w:val="24"/>
              </w:rPr>
            </w:pPr>
            <w:r>
              <w:rPr>
                <w:rFonts w:hint="eastAsia"/>
                <w:color w:val="auto"/>
                <w:sz w:val="24"/>
                <w:szCs w:val="24"/>
              </w:rPr>
              <w:t>1</w:t>
            </w:r>
            <w:r>
              <w:rPr>
                <w:rFonts w:hint="eastAsia"/>
                <w:color w:val="auto"/>
                <w:sz w:val="24"/>
                <w:szCs w:val="24"/>
                <w:lang w:val="en-US" w:eastAsia="zh-CN"/>
              </w:rPr>
              <w:t>1</w:t>
            </w:r>
            <w:r>
              <w:rPr>
                <w:rFonts w:hint="eastAsia"/>
                <w:color w:val="auto"/>
                <w:sz w:val="24"/>
                <w:szCs w:val="24"/>
              </w:rPr>
              <w:t>、</w:t>
            </w:r>
            <w:r>
              <w:rPr>
                <w:rFonts w:hint="eastAsia" w:ascii="宋体" w:hAnsi="宋体"/>
                <w:color w:val="auto"/>
                <w:sz w:val="24"/>
                <w:szCs w:val="24"/>
              </w:rPr>
              <w:t>投标人认为有必要提供的其他文件</w:t>
            </w:r>
          </w:p>
        </w:tc>
        <w:tc>
          <w:tcPr>
            <w:tcW w:w="2490" w:type="dxa"/>
            <w:vAlign w:val="center"/>
          </w:tcPr>
          <w:p>
            <w:pPr>
              <w:pStyle w:val="13"/>
              <w:kinsoku w:val="0"/>
              <w:overflowPunct w:val="0"/>
              <w:autoSpaceDE w:val="0"/>
              <w:autoSpaceDN w:val="0"/>
              <w:spacing w:line="320" w:lineRule="exact"/>
              <w:rPr>
                <w:rFonts w:hAnsi="宋体"/>
                <w:color w:val="auto"/>
                <w:sz w:val="24"/>
                <w:szCs w:val="24"/>
              </w:rPr>
            </w:pPr>
            <w:r>
              <w:rPr>
                <w:rFonts w:hint="eastAsia" w:hAnsi="宋体"/>
                <w:color w:val="auto"/>
                <w:kern w:val="0"/>
                <w:sz w:val="24"/>
                <w:szCs w:val="24"/>
              </w:rPr>
              <w:t>未</w:t>
            </w:r>
            <w:r>
              <w:rPr>
                <w:rFonts w:hint="eastAsia" w:hAnsi="宋体"/>
                <w:color w:val="auto"/>
                <w:kern w:val="0"/>
                <w:sz w:val="24"/>
                <w:szCs w:val="24"/>
                <w:lang w:eastAsia="zh-CN"/>
              </w:rPr>
              <w:t>按招标文件要求</w:t>
            </w:r>
            <w:r>
              <w:rPr>
                <w:rFonts w:hint="eastAsia" w:hAnsi="宋体"/>
                <w:color w:val="auto"/>
                <w:kern w:val="0"/>
                <w:sz w:val="24"/>
                <w:szCs w:val="24"/>
              </w:rPr>
              <w:t>提交电子投标文件的，作无效投标处理。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pacing w:line="320" w:lineRule="exact"/>
              <w:jc w:val="center"/>
              <w:rPr>
                <w:rFonts w:ascii="宋体" w:hAnsi="宋体" w:cs="微软雅黑"/>
                <w:bCs/>
                <w:color w:val="auto"/>
                <w:sz w:val="24"/>
                <w:szCs w:val="24"/>
              </w:rPr>
            </w:pPr>
            <w:r>
              <w:rPr>
                <w:rFonts w:hint="eastAsia" w:ascii="宋体" w:hAnsi="宋体" w:cs="微软雅黑"/>
                <w:bCs/>
                <w:color w:val="auto"/>
                <w:sz w:val="24"/>
                <w:szCs w:val="24"/>
              </w:rPr>
              <w:t>投标保证金</w:t>
            </w:r>
          </w:p>
        </w:tc>
        <w:tc>
          <w:tcPr>
            <w:tcW w:w="4320" w:type="dxa"/>
            <w:vAlign w:val="center"/>
          </w:tcPr>
          <w:p>
            <w:pPr>
              <w:pStyle w:val="43"/>
              <w:keepNext w:val="0"/>
              <w:keepLines w:val="0"/>
              <w:numPr>
                <w:ilvl w:val="0"/>
                <w:numId w:val="0"/>
              </w:numPr>
              <w:kinsoku w:val="0"/>
              <w:overflowPunct w:val="0"/>
              <w:autoSpaceDE w:val="0"/>
              <w:autoSpaceDN w:val="0"/>
              <w:spacing w:before="0" w:after="0" w:line="320" w:lineRule="exact"/>
              <w:rPr>
                <w:rFonts w:cs="微软雅黑"/>
                <w:bCs/>
                <w:color w:val="auto"/>
                <w:sz w:val="24"/>
                <w:szCs w:val="24"/>
              </w:rPr>
            </w:pPr>
            <w:r>
              <w:rPr>
                <w:rFonts w:hint="eastAsia" w:cs="微软雅黑"/>
                <w:bCs/>
                <w:color w:val="auto"/>
                <w:sz w:val="24"/>
                <w:szCs w:val="24"/>
              </w:rPr>
              <w:t>本项目不收取投标保证金。</w:t>
            </w:r>
          </w:p>
        </w:tc>
        <w:tc>
          <w:tcPr>
            <w:tcW w:w="2490" w:type="dxa"/>
          </w:tcPr>
          <w:p>
            <w:pPr>
              <w:pStyle w:val="43"/>
              <w:keepNext w:val="0"/>
              <w:keepLines w:val="0"/>
              <w:numPr>
                <w:ilvl w:val="0"/>
                <w:numId w:val="0"/>
              </w:numPr>
              <w:kinsoku w:val="0"/>
              <w:overflowPunct w:val="0"/>
              <w:autoSpaceDE w:val="0"/>
              <w:autoSpaceDN w:val="0"/>
              <w:spacing w:before="0" w:after="0" w:line="320" w:lineRule="exact"/>
              <w:rPr>
                <w:rFonts w:cs="微软雅黑"/>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pacing w:line="320" w:lineRule="exact"/>
              <w:jc w:val="center"/>
              <w:rPr>
                <w:rFonts w:ascii="宋体" w:hAnsi="宋体" w:cs="微软雅黑"/>
                <w:bCs/>
                <w:color w:val="auto"/>
                <w:sz w:val="24"/>
                <w:szCs w:val="24"/>
              </w:rPr>
            </w:pPr>
            <w:r>
              <w:rPr>
                <w:rFonts w:hint="eastAsia" w:ascii="宋体" w:hAnsi="宋体" w:cs="微软雅黑"/>
                <w:bCs/>
                <w:color w:val="auto"/>
                <w:sz w:val="24"/>
                <w:szCs w:val="24"/>
              </w:rPr>
              <w:t>是否允许进口产品投标</w:t>
            </w:r>
          </w:p>
        </w:tc>
        <w:tc>
          <w:tcPr>
            <w:tcW w:w="4320" w:type="dxa"/>
            <w:vAlign w:val="center"/>
          </w:tcPr>
          <w:p>
            <w:pPr>
              <w:pStyle w:val="43"/>
              <w:keepNext w:val="0"/>
              <w:keepLines w:val="0"/>
              <w:numPr>
                <w:ilvl w:val="0"/>
                <w:numId w:val="0"/>
              </w:numPr>
              <w:kinsoku w:val="0"/>
              <w:overflowPunct w:val="0"/>
              <w:autoSpaceDE w:val="0"/>
              <w:autoSpaceDN w:val="0"/>
              <w:spacing w:before="0" w:after="0" w:line="320" w:lineRule="exact"/>
              <w:rPr>
                <w:rFonts w:cs="微软雅黑"/>
                <w:bCs/>
                <w:color w:val="auto"/>
                <w:sz w:val="24"/>
                <w:szCs w:val="24"/>
              </w:rPr>
            </w:pPr>
            <w:r>
              <w:rPr>
                <w:rFonts w:hint="eastAsia" w:cs="微软雅黑"/>
                <w:bCs/>
                <w:color w:val="auto"/>
                <w:sz w:val="24"/>
                <w:szCs w:val="24"/>
              </w:rPr>
              <w:t>否</w:t>
            </w:r>
          </w:p>
        </w:tc>
        <w:tc>
          <w:tcPr>
            <w:tcW w:w="2490" w:type="dxa"/>
          </w:tcPr>
          <w:p>
            <w:pPr>
              <w:pStyle w:val="43"/>
              <w:keepNext w:val="0"/>
              <w:keepLines w:val="0"/>
              <w:numPr>
                <w:ilvl w:val="0"/>
                <w:numId w:val="0"/>
              </w:numPr>
              <w:kinsoku w:val="0"/>
              <w:overflowPunct w:val="0"/>
              <w:autoSpaceDE w:val="0"/>
              <w:autoSpaceDN w:val="0"/>
              <w:spacing w:before="0" w:after="0" w:line="320" w:lineRule="exact"/>
              <w:rPr>
                <w:rFonts w:cs="微软雅黑"/>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napToGrid w:val="0"/>
              <w:spacing w:line="320" w:lineRule="exact"/>
              <w:jc w:val="center"/>
              <w:rPr>
                <w:rFonts w:ascii="宋体" w:hAnsi="宋体" w:cs="微软雅黑"/>
                <w:bCs/>
                <w:color w:val="auto"/>
                <w:sz w:val="24"/>
                <w:szCs w:val="24"/>
              </w:rPr>
            </w:pPr>
            <w:r>
              <w:rPr>
                <w:rFonts w:hint="eastAsia" w:ascii="宋体" w:hAnsi="宋体" w:cs="微软雅黑"/>
                <w:bCs/>
                <w:color w:val="auto"/>
                <w:sz w:val="24"/>
                <w:szCs w:val="24"/>
              </w:rPr>
              <w:t>是否接受可选择或可调整的投标方案和报价</w:t>
            </w:r>
          </w:p>
        </w:tc>
        <w:tc>
          <w:tcPr>
            <w:tcW w:w="4320" w:type="dxa"/>
            <w:vAlign w:val="center"/>
          </w:tcPr>
          <w:p>
            <w:pPr>
              <w:pStyle w:val="46"/>
              <w:kinsoku w:val="0"/>
              <w:overflowPunct w:val="0"/>
              <w:autoSpaceDE w:val="0"/>
              <w:autoSpaceDN w:val="0"/>
              <w:adjustRightInd w:val="0"/>
              <w:snapToGrid w:val="0"/>
              <w:spacing w:line="320" w:lineRule="exact"/>
              <w:rPr>
                <w:rFonts w:hAnsi="宋体" w:cs="微软雅黑"/>
                <w:bCs/>
                <w:color w:val="auto"/>
                <w:sz w:val="24"/>
                <w:szCs w:val="24"/>
              </w:rPr>
            </w:pPr>
            <w:r>
              <w:rPr>
                <w:rFonts w:hint="eastAsia" w:hAnsi="宋体" w:cs="微软雅黑"/>
                <w:bCs/>
                <w:color w:val="auto"/>
                <w:kern w:val="0"/>
                <w:sz w:val="24"/>
                <w:szCs w:val="24"/>
              </w:rPr>
              <w:t>否</w:t>
            </w:r>
          </w:p>
        </w:tc>
        <w:tc>
          <w:tcPr>
            <w:tcW w:w="2490" w:type="dxa"/>
          </w:tcPr>
          <w:p>
            <w:pPr>
              <w:pStyle w:val="46"/>
              <w:kinsoku w:val="0"/>
              <w:overflowPunct w:val="0"/>
              <w:autoSpaceDE w:val="0"/>
              <w:autoSpaceDN w:val="0"/>
              <w:adjustRightInd w:val="0"/>
              <w:snapToGrid w:val="0"/>
              <w:spacing w:line="320" w:lineRule="exact"/>
              <w:rPr>
                <w:rFonts w:hAnsi="宋体" w:cs="微软雅黑"/>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napToGrid w:val="0"/>
              <w:spacing w:line="320" w:lineRule="exact"/>
              <w:jc w:val="center"/>
              <w:rPr>
                <w:rFonts w:ascii="宋体" w:hAnsi="宋体" w:cs="微软雅黑"/>
                <w:bCs/>
                <w:color w:val="auto"/>
                <w:sz w:val="24"/>
                <w:szCs w:val="24"/>
              </w:rPr>
            </w:pPr>
            <w:r>
              <w:rPr>
                <w:rFonts w:hint="eastAsia" w:ascii="宋体" w:hAnsi="宋体" w:cs="微软雅黑"/>
                <w:bCs/>
                <w:color w:val="auto"/>
                <w:sz w:val="24"/>
                <w:szCs w:val="24"/>
              </w:rPr>
              <w:t>是否允许转包</w:t>
            </w:r>
          </w:p>
        </w:tc>
        <w:tc>
          <w:tcPr>
            <w:tcW w:w="4320" w:type="dxa"/>
            <w:vAlign w:val="center"/>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r>
              <w:rPr>
                <w:rFonts w:hint="eastAsia" w:cs="微软雅黑"/>
                <w:bCs/>
                <w:color w:val="auto"/>
                <w:sz w:val="24"/>
                <w:szCs w:val="24"/>
              </w:rPr>
              <w:t>否</w:t>
            </w:r>
          </w:p>
        </w:tc>
        <w:tc>
          <w:tcPr>
            <w:tcW w:w="2490" w:type="dxa"/>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napToGrid w:val="0"/>
              <w:spacing w:line="320" w:lineRule="exact"/>
              <w:jc w:val="center"/>
              <w:rPr>
                <w:rFonts w:ascii="宋体" w:hAnsi="宋体" w:cs="微软雅黑"/>
                <w:bCs/>
                <w:color w:val="auto"/>
                <w:sz w:val="24"/>
                <w:szCs w:val="24"/>
              </w:rPr>
            </w:pPr>
            <w:r>
              <w:rPr>
                <w:rFonts w:hint="eastAsia" w:ascii="宋体" w:hAnsi="宋体" w:cs="微软雅黑"/>
                <w:bCs/>
                <w:color w:val="auto"/>
                <w:sz w:val="24"/>
                <w:szCs w:val="24"/>
              </w:rPr>
              <w:t>是否允许分包</w:t>
            </w:r>
          </w:p>
        </w:tc>
        <w:tc>
          <w:tcPr>
            <w:tcW w:w="4320" w:type="dxa"/>
            <w:vAlign w:val="center"/>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r>
              <w:rPr>
                <w:rFonts w:hint="eastAsia" w:cs="微软雅黑"/>
                <w:bCs/>
                <w:color w:val="auto"/>
                <w:sz w:val="24"/>
                <w:szCs w:val="24"/>
              </w:rPr>
              <w:t>否</w:t>
            </w:r>
          </w:p>
        </w:tc>
        <w:tc>
          <w:tcPr>
            <w:tcW w:w="2490" w:type="dxa"/>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napToGrid w:val="0"/>
              <w:spacing w:line="320" w:lineRule="exact"/>
              <w:jc w:val="center"/>
              <w:rPr>
                <w:rFonts w:ascii="宋体" w:hAnsi="宋体" w:cs="微软雅黑"/>
                <w:bCs/>
                <w:color w:val="auto"/>
                <w:sz w:val="24"/>
                <w:szCs w:val="24"/>
              </w:rPr>
            </w:pPr>
            <w:r>
              <w:rPr>
                <w:rFonts w:hint="eastAsia" w:ascii="宋体" w:hAnsi="宋体" w:cs="微软雅黑"/>
                <w:bCs/>
                <w:color w:val="auto"/>
                <w:sz w:val="24"/>
                <w:szCs w:val="24"/>
              </w:rPr>
              <w:t>是否允许联合体投标</w:t>
            </w:r>
          </w:p>
        </w:tc>
        <w:tc>
          <w:tcPr>
            <w:tcW w:w="4320" w:type="dxa"/>
            <w:vAlign w:val="center"/>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r>
              <w:rPr>
                <w:rFonts w:hint="eastAsia" w:cs="微软雅黑"/>
                <w:bCs/>
                <w:color w:val="auto"/>
                <w:sz w:val="24"/>
                <w:szCs w:val="24"/>
              </w:rPr>
              <w:t>否</w:t>
            </w:r>
          </w:p>
        </w:tc>
        <w:tc>
          <w:tcPr>
            <w:tcW w:w="2490" w:type="dxa"/>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napToGrid w:val="0"/>
              <w:spacing w:line="320" w:lineRule="exact"/>
              <w:jc w:val="center"/>
              <w:rPr>
                <w:rFonts w:ascii="宋体" w:hAnsi="宋体" w:cs="微软雅黑"/>
                <w:bCs/>
                <w:color w:val="auto"/>
                <w:sz w:val="24"/>
                <w:szCs w:val="24"/>
              </w:rPr>
            </w:pPr>
            <w:r>
              <w:rPr>
                <w:rFonts w:hint="eastAsia" w:ascii="宋体" w:hAnsi="宋体" w:cs="微软雅黑"/>
                <w:bCs/>
                <w:color w:val="auto"/>
                <w:sz w:val="24"/>
                <w:szCs w:val="24"/>
              </w:rPr>
              <w:t>是否专门面向中小企业采购</w:t>
            </w:r>
          </w:p>
        </w:tc>
        <w:tc>
          <w:tcPr>
            <w:tcW w:w="4320" w:type="dxa"/>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r>
              <w:rPr>
                <w:rFonts w:hint="eastAsia" w:cs="微软雅黑"/>
                <w:bCs/>
                <w:color w:val="auto"/>
                <w:sz w:val="24"/>
                <w:szCs w:val="24"/>
                <w:lang w:val="en-US" w:eastAsia="zh-CN"/>
              </w:rPr>
              <w:t>否</w:t>
            </w:r>
          </w:p>
        </w:tc>
        <w:tc>
          <w:tcPr>
            <w:tcW w:w="2490" w:type="dxa"/>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r>
              <w:rPr>
                <w:rFonts w:hint="eastAsia" w:cs="微软雅黑"/>
                <w:bCs/>
                <w:color w:val="auto"/>
                <w:sz w:val="24"/>
                <w:szCs w:val="24"/>
                <w:lang w:val="en-US" w:eastAsia="zh-CN"/>
              </w:rPr>
              <w:t>本项目所属行业为工业。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napToGrid w:val="0"/>
              <w:spacing w:line="320" w:lineRule="exact"/>
              <w:jc w:val="center"/>
              <w:rPr>
                <w:rFonts w:ascii="宋体" w:hAnsi="宋体" w:cs="微软雅黑"/>
                <w:bCs/>
                <w:color w:val="auto"/>
                <w:sz w:val="24"/>
                <w:szCs w:val="24"/>
              </w:rPr>
            </w:pPr>
            <w:r>
              <w:rPr>
                <w:rFonts w:hint="eastAsia" w:ascii="宋体" w:hAnsi="宋体" w:cs="微软雅黑"/>
                <w:bCs/>
                <w:color w:val="auto"/>
                <w:sz w:val="24"/>
                <w:szCs w:val="24"/>
              </w:rPr>
              <w:t>是否专门面向小微企业采购</w:t>
            </w:r>
          </w:p>
        </w:tc>
        <w:tc>
          <w:tcPr>
            <w:tcW w:w="4320" w:type="dxa"/>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r>
              <w:rPr>
                <w:rFonts w:hint="eastAsia" w:cs="微软雅黑"/>
                <w:bCs/>
                <w:color w:val="auto"/>
                <w:sz w:val="24"/>
                <w:szCs w:val="24"/>
              </w:rPr>
              <w:t>否</w:t>
            </w:r>
          </w:p>
        </w:tc>
        <w:tc>
          <w:tcPr>
            <w:tcW w:w="2490" w:type="dxa"/>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napToGrid w:val="0"/>
              <w:spacing w:line="320" w:lineRule="exact"/>
              <w:jc w:val="center"/>
              <w:rPr>
                <w:rFonts w:ascii="宋体" w:hAnsi="宋体" w:cs="微软雅黑"/>
                <w:bCs/>
                <w:color w:val="auto"/>
                <w:sz w:val="24"/>
                <w:szCs w:val="24"/>
              </w:rPr>
            </w:pPr>
            <w:r>
              <w:rPr>
                <w:rFonts w:hint="eastAsia" w:ascii="宋体" w:hAnsi="宋体" w:cs="微软雅黑"/>
                <w:bCs/>
                <w:color w:val="auto"/>
                <w:sz w:val="24"/>
                <w:szCs w:val="24"/>
              </w:rPr>
              <w:t>投标文件有效期</w:t>
            </w:r>
          </w:p>
        </w:tc>
        <w:tc>
          <w:tcPr>
            <w:tcW w:w="4320" w:type="dxa"/>
            <w:vAlign w:val="center"/>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r>
              <w:rPr>
                <w:rFonts w:hint="eastAsia" w:cs="微软雅黑"/>
                <w:bCs/>
                <w:color w:val="auto"/>
                <w:sz w:val="24"/>
                <w:szCs w:val="24"/>
                <w:lang w:val="en-US" w:eastAsia="zh-CN"/>
              </w:rPr>
              <w:t>90</w:t>
            </w:r>
            <w:r>
              <w:rPr>
                <w:rFonts w:hint="eastAsia" w:cs="微软雅黑"/>
                <w:bCs/>
                <w:color w:val="auto"/>
                <w:sz w:val="24"/>
                <w:szCs w:val="24"/>
              </w:rPr>
              <w:t>个日历日（从开标日起计算）</w:t>
            </w:r>
          </w:p>
        </w:tc>
        <w:tc>
          <w:tcPr>
            <w:tcW w:w="2490" w:type="dxa"/>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napToGrid w:val="0"/>
              <w:spacing w:line="320" w:lineRule="exact"/>
              <w:jc w:val="center"/>
              <w:rPr>
                <w:rFonts w:hint="eastAsia" w:ascii="宋体" w:hAnsi="宋体" w:cs="微软雅黑"/>
                <w:bCs/>
                <w:color w:val="auto"/>
                <w:sz w:val="24"/>
                <w:szCs w:val="24"/>
              </w:rPr>
            </w:pPr>
            <w:r>
              <w:rPr>
                <w:rFonts w:hint="eastAsia" w:ascii="宋体" w:hAnsi="宋体" w:eastAsia="宋体" w:cs="宋体"/>
                <w:color w:val="auto"/>
                <w:sz w:val="24"/>
                <w:szCs w:val="24"/>
              </w:rPr>
              <w:t>落实政府采购政策需满足的资格要求</w:t>
            </w:r>
          </w:p>
        </w:tc>
        <w:tc>
          <w:tcPr>
            <w:tcW w:w="4320" w:type="dxa"/>
            <w:vAlign w:val="center"/>
          </w:tcPr>
          <w:p>
            <w:pPr>
              <w:keepNext w:val="0"/>
              <w:keepLines w:val="0"/>
              <w:numPr>
                <w:ilvl w:val="0"/>
                <w:numId w:val="0"/>
              </w:numPr>
              <w:kinsoku/>
              <w:overflowPunct/>
              <w:autoSpaceDE/>
              <w:autoSpaceDN/>
              <w:snapToGrid/>
              <w:spacing w:before="0" w:beforeLines="0" w:after="0" w:afterLines="0" w:line="240" w:lineRule="auto"/>
              <w:ind w:firstLine="0" w:firstLineChars="0"/>
              <w:jc w:val="left"/>
              <w:rPr>
                <w:rFonts w:hint="eastAsia" w:eastAsia="宋体" w:cs="微软雅黑"/>
                <w:bCs/>
                <w:color w:val="auto"/>
                <w:sz w:val="24"/>
                <w:szCs w:val="24"/>
                <w:lang w:val="en-US" w:eastAsia="zh-CN"/>
              </w:rPr>
            </w:pPr>
            <w:r>
              <w:rPr>
                <w:rFonts w:hint="eastAsia"/>
                <w:color w:val="auto"/>
                <w:sz w:val="24"/>
              </w:rPr>
              <w:t>节约能源、保护环境、促进中小企业及监狱企业发展、促进残疾人就业、使用信用记录结果、</w:t>
            </w:r>
            <w:r>
              <w:rPr>
                <w:rFonts w:hint="eastAsia"/>
                <w:bCs/>
                <w:color w:val="auto"/>
                <w:sz w:val="24"/>
              </w:rPr>
              <w:t>支持乡村产业振兴</w:t>
            </w:r>
            <w:r>
              <w:rPr>
                <w:rFonts w:hint="eastAsia"/>
                <w:color w:val="auto"/>
                <w:sz w:val="24"/>
              </w:rPr>
              <w:t>，政府采购政策具体落实情况详见招标文件</w:t>
            </w:r>
          </w:p>
        </w:tc>
        <w:tc>
          <w:tcPr>
            <w:tcW w:w="2490" w:type="dxa"/>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napToGrid w:val="0"/>
              <w:spacing w:line="320" w:lineRule="exact"/>
              <w:jc w:val="center"/>
              <w:rPr>
                <w:rFonts w:hint="eastAsia" w:ascii="宋体" w:hAnsi="宋体" w:eastAsia="宋体" w:cs="宋体"/>
                <w:color w:val="auto"/>
                <w:sz w:val="24"/>
                <w:szCs w:val="24"/>
              </w:rPr>
            </w:pPr>
            <w:r>
              <w:rPr>
                <w:rFonts w:hint="eastAsia" w:ascii="宋体" w:hAnsi="宋体"/>
                <w:color w:val="auto"/>
                <w:sz w:val="24"/>
                <w:szCs w:val="24"/>
              </w:rPr>
              <w:t>★</w:t>
            </w:r>
            <w:r>
              <w:rPr>
                <w:rFonts w:hint="eastAsia" w:ascii="宋体" w:hAnsi="宋体" w:eastAsia="宋体" w:cs="宋体"/>
                <w:color w:val="auto"/>
                <w:sz w:val="24"/>
                <w:szCs w:val="24"/>
              </w:rPr>
              <w:t>本项目的特定资格要求</w:t>
            </w:r>
          </w:p>
        </w:tc>
        <w:tc>
          <w:tcPr>
            <w:tcW w:w="4320" w:type="dxa"/>
            <w:vAlign w:val="center"/>
          </w:tcPr>
          <w:p>
            <w:pPr>
              <w:pStyle w:val="43"/>
              <w:keepNext w:val="0"/>
              <w:keepLines w:val="0"/>
              <w:numPr>
                <w:ilvl w:val="0"/>
                <w:numId w:val="0"/>
              </w:numPr>
              <w:kinsoku w:val="0"/>
              <w:overflowPunct w:val="0"/>
              <w:autoSpaceDE w:val="0"/>
              <w:autoSpaceDN w:val="0"/>
              <w:snapToGrid w:val="0"/>
              <w:spacing w:before="0" w:after="0" w:line="320" w:lineRule="exact"/>
              <w:jc w:val="both"/>
              <w:rPr>
                <w:rFonts w:hint="eastAsia" w:cs="微软雅黑"/>
                <w:bCs/>
                <w:color w:val="auto"/>
                <w:sz w:val="24"/>
                <w:szCs w:val="24"/>
                <w:lang w:val="en-US" w:eastAsia="zh-CN"/>
              </w:rPr>
            </w:pPr>
            <w:r>
              <w:rPr>
                <w:rFonts w:hint="eastAsia" w:cs="微软雅黑"/>
                <w:bCs/>
                <w:color w:val="auto"/>
                <w:sz w:val="24"/>
                <w:szCs w:val="24"/>
                <w:lang w:val="en-US" w:eastAsia="zh-CN"/>
              </w:rPr>
              <w:t>无</w:t>
            </w:r>
          </w:p>
        </w:tc>
        <w:tc>
          <w:tcPr>
            <w:tcW w:w="2490" w:type="dxa"/>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671" w:type="dxa"/>
            <w:vAlign w:val="center"/>
          </w:tcPr>
          <w:p>
            <w:pPr>
              <w:numPr>
                <w:ilvl w:val="0"/>
                <w:numId w:val="6"/>
              </w:numPr>
              <w:kinsoku w:val="0"/>
              <w:overflowPunct w:val="0"/>
              <w:autoSpaceDE w:val="0"/>
              <w:autoSpaceDN w:val="0"/>
              <w:snapToGrid w:val="0"/>
              <w:spacing w:line="320" w:lineRule="exact"/>
              <w:jc w:val="center"/>
              <w:textAlignment w:val="auto"/>
              <w:rPr>
                <w:rFonts w:ascii="宋体" w:hAnsi="宋体" w:cs="微软雅黑"/>
                <w:bCs/>
                <w:color w:val="auto"/>
                <w:sz w:val="24"/>
                <w:szCs w:val="24"/>
              </w:rPr>
            </w:pPr>
          </w:p>
        </w:tc>
        <w:tc>
          <w:tcPr>
            <w:tcW w:w="1806" w:type="dxa"/>
            <w:vAlign w:val="center"/>
          </w:tcPr>
          <w:p>
            <w:pPr>
              <w:kinsoku w:val="0"/>
              <w:overflowPunct w:val="0"/>
              <w:autoSpaceDE w:val="0"/>
              <w:autoSpaceDN w:val="0"/>
              <w:snapToGrid w:val="0"/>
              <w:spacing w:line="320" w:lineRule="exact"/>
              <w:jc w:val="center"/>
              <w:rPr>
                <w:rFonts w:hint="eastAsia" w:ascii="宋体" w:hAnsi="宋体" w:eastAsia="宋体"/>
                <w:color w:val="auto"/>
                <w:sz w:val="24"/>
                <w:szCs w:val="24"/>
                <w:lang w:eastAsia="zh-CN"/>
              </w:rPr>
            </w:pPr>
            <w:r>
              <w:rPr>
                <w:rFonts w:hint="eastAsia" w:ascii="宋体" w:hAnsi="宋体"/>
                <w:color w:val="auto"/>
                <w:sz w:val="24"/>
                <w:szCs w:val="24"/>
                <w:lang w:eastAsia="zh-CN"/>
              </w:rPr>
              <w:t>其他</w:t>
            </w:r>
          </w:p>
        </w:tc>
        <w:tc>
          <w:tcPr>
            <w:tcW w:w="4320" w:type="dxa"/>
            <w:vAlign w:val="center"/>
          </w:tcPr>
          <w:p>
            <w:pPr>
              <w:pStyle w:val="43"/>
              <w:keepNext w:val="0"/>
              <w:keepLines w:val="0"/>
              <w:numPr>
                <w:ilvl w:val="0"/>
                <w:numId w:val="0"/>
              </w:numPr>
              <w:kinsoku w:val="0"/>
              <w:overflowPunct w:val="0"/>
              <w:autoSpaceDE w:val="0"/>
              <w:autoSpaceDN w:val="0"/>
              <w:snapToGrid w:val="0"/>
              <w:spacing w:before="0" w:after="0" w:line="320" w:lineRule="exact"/>
              <w:jc w:val="both"/>
              <w:rPr>
                <w:rFonts w:hint="eastAsia" w:cs="微软雅黑"/>
                <w:bCs/>
                <w:color w:val="auto"/>
                <w:sz w:val="24"/>
                <w:szCs w:val="24"/>
                <w:lang w:val="en-US" w:eastAsia="zh-CN"/>
              </w:rPr>
            </w:pPr>
            <w:r>
              <w:rPr>
                <w:rFonts w:hint="eastAsia" w:cs="微软雅黑"/>
                <w:bCs/>
                <w:color w:val="auto"/>
                <w:sz w:val="24"/>
                <w:szCs w:val="24"/>
                <w:lang w:val="en-US" w:eastAsia="zh-CN"/>
              </w:rPr>
              <w:t>投标人如投多包，需分包制作投标文件并进行线上投标。</w:t>
            </w:r>
          </w:p>
        </w:tc>
        <w:tc>
          <w:tcPr>
            <w:tcW w:w="2490" w:type="dxa"/>
          </w:tcPr>
          <w:p>
            <w:pPr>
              <w:pStyle w:val="43"/>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rPr>
            </w:pPr>
          </w:p>
        </w:tc>
      </w:tr>
    </w:tbl>
    <w:p>
      <w:pPr>
        <w:snapToGrid w:val="0"/>
        <w:spacing w:line="400" w:lineRule="exact"/>
        <w:ind w:firstLine="420" w:firstLineChars="200"/>
        <w:jc w:val="both"/>
        <w:rPr>
          <w:rFonts w:ascii="宋体" w:hAnsi="宋体" w:cs="微软雅黑"/>
          <w:color w:val="auto"/>
          <w:sz w:val="21"/>
          <w:szCs w:val="21"/>
        </w:rPr>
        <w:sectPr>
          <w:headerReference r:id="rId7" w:type="default"/>
          <w:footerReference r:id="rId8" w:type="default"/>
          <w:pgSz w:w="11907" w:h="16840"/>
          <w:pgMar w:top="1418" w:right="1418" w:bottom="1418" w:left="1418" w:header="851" w:footer="850" w:gutter="0"/>
          <w:cols w:space="720" w:num="1"/>
          <w:docGrid w:type="lines" w:linePitch="326" w:charSpace="0"/>
        </w:sectPr>
      </w:pPr>
    </w:p>
    <w:p>
      <w:pPr>
        <w:pStyle w:val="48"/>
        <w:snapToGrid w:val="0"/>
        <w:spacing w:before="0" w:after="0"/>
        <w:ind w:left="0"/>
        <w:rPr>
          <w:rFonts w:ascii="宋体" w:hAnsi="宋体"/>
          <w:color w:val="auto"/>
        </w:rPr>
      </w:pPr>
      <w:bookmarkStart w:id="33" w:name="_Toc328815991"/>
      <w:bookmarkStart w:id="34" w:name="_Toc20975"/>
      <w:bookmarkStart w:id="35" w:name="_Toc466015312"/>
      <w:bookmarkStart w:id="36" w:name="_Toc186274106"/>
      <w:bookmarkStart w:id="37" w:name="_Toc174185153"/>
      <w:bookmarkStart w:id="38" w:name="_Toc86202581"/>
      <w:r>
        <w:rPr>
          <w:rFonts w:hint="eastAsia" w:ascii="宋体" w:hAnsi="宋体"/>
          <w:color w:val="auto"/>
        </w:rPr>
        <w:t>投标人须知</w:t>
      </w:r>
      <w:bookmarkEnd w:id="33"/>
      <w:bookmarkEnd w:id="34"/>
      <w:bookmarkEnd w:id="35"/>
    </w:p>
    <w:bookmarkEnd w:id="36"/>
    <w:bookmarkEnd w:id="37"/>
    <w:p>
      <w:pPr>
        <w:pStyle w:val="53"/>
        <w:numPr>
          <w:ilvl w:val="0"/>
          <w:numId w:val="0"/>
        </w:numPr>
        <w:adjustRightInd/>
        <w:textAlignment w:val="auto"/>
        <w:rPr>
          <w:color w:val="auto"/>
        </w:rPr>
      </w:pPr>
    </w:p>
    <w:bookmarkEnd w:id="38"/>
    <w:p>
      <w:pPr>
        <w:pStyle w:val="4"/>
        <w:spacing w:before="0" w:after="120" w:line="400" w:lineRule="exact"/>
        <w:ind w:left="238"/>
        <w:rPr>
          <w:rFonts w:ascii="宋体" w:hAnsi="宋体" w:eastAsia="宋体" w:cs="微软雅黑"/>
          <w:bCs w:val="0"/>
          <w:color w:val="auto"/>
          <w:sz w:val="24"/>
          <w:szCs w:val="24"/>
        </w:rPr>
      </w:pPr>
      <w:bookmarkStart w:id="39" w:name="_Toc328815992"/>
      <w:r>
        <w:rPr>
          <w:rFonts w:hint="eastAsia" w:ascii="宋体" w:hAnsi="宋体" w:eastAsia="宋体" w:cs="微软雅黑"/>
          <w:bCs w:val="0"/>
          <w:color w:val="auto"/>
          <w:sz w:val="24"/>
          <w:szCs w:val="24"/>
        </w:rPr>
        <w:t>总则</w:t>
      </w:r>
      <w:bookmarkEnd w:id="39"/>
    </w:p>
    <w:p>
      <w:pPr>
        <w:pStyle w:val="53"/>
        <w:tabs>
          <w:tab w:val="clear" w:pos="709"/>
        </w:tabs>
        <w:spacing w:line="400" w:lineRule="exact"/>
        <w:rPr>
          <w:rFonts w:cs="微软雅黑"/>
          <w:color w:val="auto"/>
          <w:sz w:val="24"/>
          <w:szCs w:val="24"/>
        </w:rPr>
      </w:pPr>
      <w:r>
        <w:rPr>
          <w:rFonts w:hint="eastAsia" w:cs="微软雅黑"/>
          <w:color w:val="auto"/>
          <w:sz w:val="24"/>
          <w:szCs w:val="24"/>
        </w:rPr>
        <w:t>定义：</w:t>
      </w:r>
    </w:p>
    <w:p>
      <w:pPr>
        <w:pStyle w:val="53"/>
        <w:numPr>
          <w:ilvl w:val="1"/>
          <w:numId w:val="3"/>
        </w:numPr>
        <w:spacing w:line="400" w:lineRule="exact"/>
        <w:rPr>
          <w:rFonts w:cs="微软雅黑"/>
          <w:color w:val="auto"/>
          <w:sz w:val="24"/>
          <w:szCs w:val="24"/>
        </w:rPr>
      </w:pPr>
      <w:r>
        <w:rPr>
          <w:rFonts w:hint="eastAsia" w:cs="微软雅黑"/>
          <w:color w:val="auto"/>
          <w:sz w:val="24"/>
          <w:szCs w:val="24"/>
        </w:rPr>
        <w:t>“采购人”名称详见招标文件第一部分。</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“潜在投标人”指符合《中华人民共和国政府采购法》及相关法律法规和本招标文件的各项规定，且按照本项目招标公告及招标文件规定的方式获取招标文件的供应商。</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“投标人”指符合《中华人民共和国政府采购法》及相关法律法规和本招标文件的各项规定，按照本项目招标公告及招标文件规定的方式获取招标文件并参加投标的供应商。</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招标文件中所述的公告发布的指定媒体指中国政府采购网（</w:t>
      </w:r>
      <w:r>
        <w:rPr>
          <w:rFonts w:cs="微软雅黑"/>
          <w:color w:val="auto"/>
          <w:sz w:val="24"/>
          <w:szCs w:val="24"/>
        </w:rPr>
        <w:t>http://www.ccgp.gov.cn</w:t>
      </w:r>
      <w:r>
        <w:rPr>
          <w:rFonts w:hint="eastAsia" w:cs="微软雅黑"/>
          <w:color w:val="auto"/>
          <w:sz w:val="24"/>
          <w:szCs w:val="24"/>
        </w:rPr>
        <w:t>）及北京市政府采购网（</w:t>
      </w:r>
      <w:r>
        <w:rPr>
          <w:color w:val="auto"/>
          <w:sz w:val="24"/>
          <w:szCs w:val="24"/>
        </w:rPr>
        <w:fldChar w:fldCharType="begin"/>
      </w:r>
      <w:r>
        <w:rPr>
          <w:color w:val="auto"/>
          <w:sz w:val="24"/>
          <w:szCs w:val="24"/>
        </w:rPr>
        <w:instrText xml:space="preserve"> HYPERLINK "http://www.ccgp-beijing.gov.cn" </w:instrText>
      </w:r>
      <w:r>
        <w:rPr>
          <w:color w:val="auto"/>
          <w:sz w:val="24"/>
          <w:szCs w:val="24"/>
        </w:rPr>
        <w:fldChar w:fldCharType="separate"/>
      </w:r>
      <w:r>
        <w:rPr>
          <w:rStyle w:val="29"/>
          <w:rFonts w:cs="微软雅黑"/>
          <w:color w:val="auto"/>
          <w:sz w:val="24"/>
          <w:szCs w:val="24"/>
          <w:u w:val="none"/>
        </w:rPr>
        <w:t>http://www.ccgp-beijing.gov.cn</w:t>
      </w:r>
      <w:r>
        <w:rPr>
          <w:rStyle w:val="29"/>
          <w:rFonts w:cs="微软雅黑"/>
          <w:color w:val="auto"/>
          <w:sz w:val="24"/>
          <w:szCs w:val="24"/>
          <w:u w:val="none"/>
        </w:rPr>
        <w:fldChar w:fldCharType="end"/>
      </w:r>
      <w:r>
        <w:rPr>
          <w:rFonts w:hint="eastAsia" w:cs="微软雅黑"/>
          <w:color w:val="auto"/>
          <w:sz w:val="24"/>
          <w:szCs w:val="24"/>
        </w:rPr>
        <w:t>）。</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本项目需要落实的政府采购政策详见招标文件对应条款。</w:t>
      </w:r>
    </w:p>
    <w:p>
      <w:pPr>
        <w:pStyle w:val="53"/>
        <w:numPr>
          <w:ilvl w:val="1"/>
          <w:numId w:val="3"/>
        </w:numPr>
        <w:snapToGrid w:val="0"/>
        <w:spacing w:line="400" w:lineRule="exact"/>
        <w:rPr>
          <w:rFonts w:cs="微软雅黑"/>
          <w:b/>
          <w:color w:val="auto"/>
          <w:sz w:val="24"/>
          <w:szCs w:val="24"/>
        </w:rPr>
      </w:pPr>
      <w:r>
        <w:rPr>
          <w:rFonts w:hint="eastAsia" w:cs="微软雅黑"/>
          <w:b/>
          <w:color w:val="auto"/>
          <w:sz w:val="24"/>
          <w:szCs w:val="24"/>
        </w:rPr>
        <w:t>本项目电子投标各项要求、流程及注意事项已在本招标文件及北京市政府采购电子交易平台相关操作指南和演示视频中进行说明，如投标人未按要求操作导致的投标无效，责任由投标人承担。</w:t>
      </w:r>
    </w:p>
    <w:p>
      <w:pPr>
        <w:pStyle w:val="53"/>
        <w:numPr>
          <w:ilvl w:val="1"/>
          <w:numId w:val="3"/>
        </w:numPr>
        <w:snapToGrid w:val="0"/>
        <w:spacing w:line="400" w:lineRule="exact"/>
        <w:rPr>
          <w:rFonts w:cs="微软雅黑"/>
          <w:b/>
          <w:color w:val="auto"/>
          <w:sz w:val="24"/>
          <w:szCs w:val="24"/>
        </w:rPr>
      </w:pPr>
      <w:r>
        <w:rPr>
          <w:rFonts w:hint="eastAsia" w:cs="微软雅黑"/>
          <w:b/>
          <w:color w:val="auto"/>
          <w:sz w:val="24"/>
          <w:szCs w:val="24"/>
        </w:rPr>
        <w:t>评审时，采购人和评标委员会保留审核投标人相关电子投标文件原件的权利。</w:t>
      </w:r>
    </w:p>
    <w:p>
      <w:pPr>
        <w:pStyle w:val="53"/>
        <w:numPr>
          <w:ilvl w:val="-1"/>
          <w:numId w:val="0"/>
        </w:numPr>
        <w:tabs>
          <w:tab w:val="clear" w:pos="709"/>
        </w:tabs>
        <w:snapToGrid w:val="0"/>
        <w:spacing w:line="400" w:lineRule="exact"/>
        <w:rPr>
          <w:rFonts w:cs="微软雅黑"/>
          <w:color w:val="auto"/>
          <w:sz w:val="24"/>
          <w:szCs w:val="24"/>
        </w:rPr>
      </w:pPr>
    </w:p>
    <w:p>
      <w:pPr>
        <w:pStyle w:val="53"/>
        <w:tabs>
          <w:tab w:val="clear" w:pos="709"/>
        </w:tabs>
        <w:spacing w:line="400" w:lineRule="exact"/>
        <w:rPr>
          <w:rFonts w:cs="微软雅黑"/>
          <w:color w:val="auto"/>
          <w:sz w:val="24"/>
          <w:szCs w:val="24"/>
        </w:rPr>
      </w:pPr>
      <w:r>
        <w:rPr>
          <w:rFonts w:hint="eastAsia" w:cs="微软雅黑"/>
          <w:color w:val="auto"/>
          <w:sz w:val="24"/>
          <w:szCs w:val="24"/>
        </w:rPr>
        <w:t>合格投标人的条件</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在中华人民共和国境内注册，具有本项目生产、制造、供应或实施能力，符合、承认并承诺履行本招标文件各项规定的供应商，包括</w:t>
      </w:r>
      <w:r>
        <w:rPr>
          <w:rFonts w:hint="eastAsia"/>
          <w:color w:val="auto"/>
          <w:sz w:val="24"/>
          <w:szCs w:val="24"/>
        </w:rPr>
        <w:t>法人、其他组织或者自然人</w:t>
      </w:r>
      <w:r>
        <w:rPr>
          <w:rFonts w:hint="eastAsia" w:cs="微软雅黑"/>
          <w:color w:val="auto"/>
          <w:sz w:val="24"/>
          <w:szCs w:val="24"/>
        </w:rPr>
        <w:t>。</w:t>
      </w:r>
    </w:p>
    <w:p>
      <w:pPr>
        <w:pStyle w:val="53"/>
        <w:numPr>
          <w:ilvl w:val="1"/>
          <w:numId w:val="3"/>
        </w:numPr>
        <w:spacing w:line="400" w:lineRule="exact"/>
        <w:rPr>
          <w:rFonts w:cs="微软雅黑"/>
          <w:color w:val="auto"/>
          <w:sz w:val="24"/>
          <w:szCs w:val="24"/>
        </w:rPr>
      </w:pPr>
      <w:r>
        <w:rPr>
          <w:rFonts w:hint="eastAsia" w:cs="微软雅黑"/>
          <w:color w:val="auto"/>
          <w:sz w:val="24"/>
          <w:szCs w:val="24"/>
        </w:rPr>
        <w:t>投标人应遵守中华人民共和国有关的国家法律、法规和条例。</w:t>
      </w:r>
    </w:p>
    <w:p>
      <w:pPr>
        <w:pStyle w:val="53"/>
        <w:numPr>
          <w:ilvl w:val="1"/>
          <w:numId w:val="3"/>
        </w:numPr>
        <w:spacing w:line="400" w:lineRule="exact"/>
        <w:rPr>
          <w:rFonts w:cs="微软雅黑"/>
          <w:color w:val="auto"/>
          <w:sz w:val="24"/>
          <w:szCs w:val="24"/>
        </w:rPr>
      </w:pPr>
      <w:r>
        <w:rPr>
          <w:rFonts w:hint="eastAsia" w:cs="微软雅黑"/>
          <w:color w:val="auto"/>
          <w:sz w:val="24"/>
          <w:szCs w:val="24"/>
        </w:rPr>
        <w:t>投标人应具备《中华人民共和国政府采购法》及相关政府采购法律法规和本招标文件中规定的</w:t>
      </w:r>
      <w:r>
        <w:rPr>
          <w:rFonts w:hint="eastAsia"/>
          <w:color w:val="auto"/>
          <w:sz w:val="24"/>
          <w:szCs w:val="24"/>
        </w:rPr>
        <w:t>参加政府采购活动的供应商应当具备的</w:t>
      </w:r>
      <w:r>
        <w:rPr>
          <w:rFonts w:hint="eastAsia" w:cs="微软雅黑"/>
          <w:color w:val="auto"/>
          <w:sz w:val="24"/>
          <w:szCs w:val="24"/>
        </w:rPr>
        <w:t>条件：</w:t>
      </w:r>
    </w:p>
    <w:p>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具有独立承担民事责任的能力；</w:t>
      </w:r>
    </w:p>
    <w:p>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具有良好的商业信誉和健全的财务会计制度；</w:t>
      </w:r>
    </w:p>
    <w:p>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具有履行合同所必需的设备和专业技术能力；</w:t>
      </w:r>
    </w:p>
    <w:p>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具有依法缴纳税收和社会保障资金的良好记录；</w:t>
      </w:r>
    </w:p>
    <w:p>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参加此项采购活动前三年内，在经营活动中没有重大违法记录；</w:t>
      </w:r>
    </w:p>
    <w:p>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法律、行政法规规定的其他条件；</w:t>
      </w:r>
    </w:p>
    <w:p>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具有投标人须知前附表</w:t>
      </w:r>
      <w:r>
        <w:rPr>
          <w:rFonts w:hint="eastAsia" w:ascii="宋体" w:hAnsi="宋体" w:cs="微软雅黑"/>
          <w:color w:val="auto"/>
          <w:sz w:val="24"/>
          <w:szCs w:val="24"/>
          <w:u w:val="none"/>
          <w:lang w:eastAsia="zh-CN"/>
        </w:rPr>
        <w:t>中</w:t>
      </w:r>
      <w:r>
        <w:rPr>
          <w:rFonts w:hint="eastAsia" w:ascii="宋体" w:hAnsi="宋体" w:cs="微软雅黑"/>
          <w:color w:val="auto"/>
          <w:sz w:val="24"/>
          <w:szCs w:val="24"/>
        </w:rPr>
        <w:t>规定的其他相关资格条件。</w:t>
      </w:r>
    </w:p>
    <w:p>
      <w:pPr>
        <w:numPr>
          <w:ilvl w:val="1"/>
          <w:numId w:val="3"/>
        </w:numPr>
        <w:rPr>
          <w:rFonts w:ascii="宋体" w:hAnsi="宋体" w:cs="微软雅黑"/>
          <w:color w:val="auto"/>
          <w:sz w:val="24"/>
          <w:szCs w:val="24"/>
        </w:rPr>
      </w:pPr>
      <w:r>
        <w:rPr>
          <w:rFonts w:hint="eastAsia" w:ascii="宋体" w:hAnsi="宋体" w:cs="微软雅黑"/>
          <w:color w:val="auto"/>
          <w:sz w:val="24"/>
          <w:szCs w:val="24"/>
        </w:rPr>
        <w:t>供应商按照规定办理</w:t>
      </w:r>
      <w:r>
        <w:rPr>
          <w:rFonts w:hint="eastAsia" w:ascii="宋体" w:hAnsi="宋体" w:cs="微软雅黑"/>
          <w:color w:val="auto"/>
          <w:sz w:val="24"/>
          <w:szCs w:val="24"/>
          <w:lang w:eastAsia="zh-CN"/>
        </w:rPr>
        <w:t>电子营业执照或</w:t>
      </w:r>
      <w:r>
        <w:rPr>
          <w:rFonts w:hint="eastAsia" w:ascii="宋体" w:hAnsi="宋体" w:cs="微软雅黑"/>
          <w:color w:val="auto"/>
          <w:sz w:val="24"/>
          <w:szCs w:val="24"/>
        </w:rPr>
        <w:t>CA数字认证证书后，自招标公告发布之日起，在规定的下载时间内登录北京市政府采购电子交易平台（http://zbcg-bjzc.zhongcy.com/bjczj-portal-site/index.html#/home）免费获取本项目电子版招标文件，否则投标无效。</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单位负责人为同一人或者投标存在直接控股、管理关系的不同供应商，不得同时参加本项目投标。</w:t>
      </w:r>
    </w:p>
    <w:p>
      <w:pPr>
        <w:pStyle w:val="53"/>
        <w:numPr>
          <w:ilvl w:val="1"/>
          <w:numId w:val="3"/>
        </w:numPr>
        <w:snapToGrid w:val="0"/>
        <w:spacing w:line="400" w:lineRule="exact"/>
        <w:rPr>
          <w:rFonts w:cs="微软雅黑"/>
          <w:color w:val="auto"/>
          <w:sz w:val="24"/>
          <w:szCs w:val="24"/>
        </w:rPr>
      </w:pPr>
      <w:r>
        <w:rPr>
          <w:rFonts w:hint="eastAsia"/>
          <w:color w:val="auto"/>
          <w:sz w:val="24"/>
          <w:szCs w:val="24"/>
        </w:rPr>
        <w:t>为本项目提供整体设计、规范编制或者项目管理、监理、检测等服务的供应商，不得参加本项目投标。</w:t>
      </w:r>
    </w:p>
    <w:p>
      <w:pPr>
        <w:pStyle w:val="53"/>
        <w:numPr>
          <w:ilvl w:val="1"/>
          <w:numId w:val="3"/>
        </w:numPr>
        <w:snapToGrid w:val="0"/>
        <w:spacing w:line="400" w:lineRule="exact"/>
        <w:rPr>
          <w:rFonts w:cs="微软雅黑"/>
          <w:color w:val="auto"/>
          <w:sz w:val="24"/>
          <w:szCs w:val="24"/>
        </w:rPr>
      </w:pPr>
      <w:r>
        <w:rPr>
          <w:rFonts w:hint="eastAsia" w:cs="宋体"/>
          <w:color w:val="auto"/>
          <w:sz w:val="24"/>
          <w:szCs w:val="24"/>
        </w:rPr>
        <w:t>通过资格预审方式确定合格投标人的项目，资格预审合格的投标人在评审阶段资格发生变化的，应当以书面形式通知采购中心和采购人。</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投标人不得被列入相关部门规定的失信被执行人、重大税收违法案件当事人名单、政府采购严重违法失信行为记录名单。</w:t>
      </w:r>
    </w:p>
    <w:p>
      <w:pPr>
        <w:pStyle w:val="53"/>
        <w:numPr>
          <w:ilvl w:val="1"/>
          <w:numId w:val="3"/>
        </w:numPr>
        <w:snapToGrid w:val="0"/>
        <w:spacing w:line="400" w:lineRule="exact"/>
        <w:rPr>
          <w:rFonts w:cs="微软雅黑"/>
          <w:color w:val="auto"/>
        </w:rPr>
      </w:pPr>
      <w:r>
        <w:rPr>
          <w:rFonts w:hint="eastAsia" w:cs="微软雅黑"/>
          <w:color w:val="auto"/>
          <w:sz w:val="24"/>
          <w:szCs w:val="24"/>
        </w:rPr>
        <w:t>以联合体形式参加政府采购活动的，联合体各方不得再单独参加或者与其他供应商另外组成联合体参加同一合同项下的政府采购活动。</w:t>
      </w:r>
    </w:p>
    <w:p>
      <w:pPr>
        <w:pStyle w:val="53"/>
        <w:numPr>
          <w:ilvl w:val="0"/>
          <w:numId w:val="0"/>
        </w:numPr>
        <w:tabs>
          <w:tab w:val="left" w:pos="420"/>
        </w:tabs>
        <w:spacing w:line="400" w:lineRule="exact"/>
        <w:rPr>
          <w:rFonts w:cs="微软雅黑"/>
          <w:color w:val="auto"/>
        </w:rPr>
      </w:pPr>
    </w:p>
    <w:p>
      <w:pPr>
        <w:pStyle w:val="53"/>
        <w:tabs>
          <w:tab w:val="clear" w:pos="709"/>
        </w:tabs>
        <w:spacing w:line="400" w:lineRule="exact"/>
        <w:rPr>
          <w:rFonts w:cs="微软雅黑"/>
          <w:color w:val="auto"/>
          <w:sz w:val="24"/>
          <w:szCs w:val="24"/>
        </w:rPr>
      </w:pPr>
      <w:r>
        <w:rPr>
          <w:rFonts w:hint="eastAsia" w:cs="微软雅黑"/>
          <w:color w:val="auto"/>
          <w:sz w:val="24"/>
          <w:szCs w:val="24"/>
        </w:rPr>
        <w:t>投标费用</w:t>
      </w:r>
    </w:p>
    <w:p>
      <w:pPr>
        <w:pStyle w:val="53"/>
        <w:numPr>
          <w:ilvl w:val="1"/>
          <w:numId w:val="3"/>
        </w:numPr>
        <w:spacing w:line="400" w:lineRule="exact"/>
        <w:rPr>
          <w:rFonts w:cs="微软雅黑"/>
          <w:color w:val="auto"/>
          <w:sz w:val="24"/>
          <w:szCs w:val="24"/>
        </w:rPr>
      </w:pPr>
      <w:r>
        <w:rPr>
          <w:rFonts w:hint="eastAsia" w:cs="微软雅黑"/>
          <w:color w:val="auto"/>
          <w:sz w:val="24"/>
          <w:szCs w:val="24"/>
        </w:rPr>
        <w:t>投标人应承担所有与准备和参加投标有关的费用，采购中心和采购人在任何情况下均无义务和责任承担相关费用。</w:t>
      </w:r>
    </w:p>
    <w:p>
      <w:pPr>
        <w:pStyle w:val="53"/>
        <w:numPr>
          <w:ilvl w:val="1"/>
          <w:numId w:val="3"/>
        </w:numPr>
        <w:spacing w:line="400" w:lineRule="exact"/>
        <w:rPr>
          <w:rFonts w:cs="微软雅黑"/>
          <w:color w:val="auto"/>
          <w:sz w:val="24"/>
          <w:szCs w:val="24"/>
        </w:rPr>
      </w:pPr>
      <w:r>
        <w:rPr>
          <w:rFonts w:hint="eastAsia" w:cs="微软雅黑"/>
          <w:color w:val="auto"/>
          <w:sz w:val="24"/>
          <w:szCs w:val="24"/>
        </w:rPr>
        <w:t>采购中心提供招标文件免费下载，且不收取中标服务费。</w:t>
      </w:r>
    </w:p>
    <w:p>
      <w:pPr>
        <w:pStyle w:val="53"/>
        <w:numPr>
          <w:ilvl w:val="0"/>
          <w:numId w:val="0"/>
        </w:numPr>
        <w:snapToGrid w:val="0"/>
        <w:spacing w:line="400" w:lineRule="exact"/>
        <w:rPr>
          <w:rFonts w:cs="微软雅黑"/>
          <w:color w:val="auto"/>
        </w:rPr>
      </w:pPr>
    </w:p>
    <w:p>
      <w:pPr>
        <w:pStyle w:val="4"/>
        <w:spacing w:before="0" w:after="120" w:line="400" w:lineRule="exact"/>
        <w:ind w:left="238"/>
        <w:rPr>
          <w:rFonts w:ascii="宋体" w:hAnsi="宋体" w:eastAsia="宋体" w:cs="微软雅黑"/>
          <w:bCs w:val="0"/>
          <w:color w:val="auto"/>
          <w:sz w:val="24"/>
          <w:szCs w:val="24"/>
        </w:rPr>
      </w:pPr>
      <w:bookmarkStart w:id="40" w:name="_Toc328815993"/>
      <w:r>
        <w:rPr>
          <w:rFonts w:hint="eastAsia" w:ascii="宋体" w:hAnsi="宋体" w:eastAsia="宋体" w:cs="微软雅黑"/>
          <w:bCs w:val="0"/>
          <w:color w:val="auto"/>
          <w:sz w:val="24"/>
          <w:szCs w:val="24"/>
        </w:rPr>
        <w:t>招标文件</w:t>
      </w:r>
      <w:bookmarkEnd w:id="40"/>
    </w:p>
    <w:p>
      <w:pPr>
        <w:pStyle w:val="53"/>
        <w:tabs>
          <w:tab w:val="clear" w:pos="709"/>
        </w:tabs>
        <w:spacing w:line="400" w:lineRule="exact"/>
        <w:rPr>
          <w:rFonts w:cs="微软雅黑"/>
          <w:color w:val="auto"/>
          <w:sz w:val="24"/>
          <w:szCs w:val="24"/>
        </w:rPr>
      </w:pPr>
      <w:r>
        <w:rPr>
          <w:rFonts w:hint="eastAsia" w:cs="微软雅黑"/>
          <w:color w:val="auto"/>
          <w:sz w:val="24"/>
          <w:szCs w:val="24"/>
        </w:rPr>
        <w:t>招标文件</w:t>
      </w:r>
    </w:p>
    <w:p>
      <w:pPr>
        <w:pStyle w:val="53"/>
        <w:numPr>
          <w:ilvl w:val="1"/>
          <w:numId w:val="3"/>
        </w:numPr>
        <w:spacing w:line="400" w:lineRule="exact"/>
        <w:rPr>
          <w:rFonts w:cs="微软雅黑"/>
          <w:color w:val="auto"/>
          <w:sz w:val="24"/>
          <w:szCs w:val="24"/>
        </w:rPr>
      </w:pPr>
      <w:r>
        <w:rPr>
          <w:rFonts w:hint="eastAsia" w:cs="微软雅黑"/>
          <w:color w:val="auto"/>
          <w:sz w:val="24"/>
          <w:szCs w:val="24"/>
        </w:rPr>
        <w:t>招标文件由下列</w:t>
      </w:r>
      <w:r>
        <w:rPr>
          <w:rFonts w:hint="eastAsia" w:cs="微软雅黑"/>
          <w:color w:val="auto"/>
          <w:sz w:val="24"/>
          <w:szCs w:val="24"/>
          <w:u w:val="single"/>
        </w:rPr>
        <w:t>七部分</w:t>
      </w:r>
      <w:r>
        <w:rPr>
          <w:rFonts w:hint="eastAsia" w:cs="微软雅黑"/>
          <w:color w:val="auto"/>
          <w:sz w:val="24"/>
          <w:szCs w:val="24"/>
        </w:rPr>
        <w:t>内容组成：</w:t>
      </w:r>
    </w:p>
    <w:p>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第一部分 投标邀请；</w:t>
      </w:r>
    </w:p>
    <w:p>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第二部分 投标人须知前附表；</w:t>
      </w:r>
    </w:p>
    <w:p>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第三部分 投标人须知；</w:t>
      </w:r>
    </w:p>
    <w:p>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第四部分 采购需求；</w:t>
      </w:r>
    </w:p>
    <w:p>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第五部分</w:t>
      </w:r>
      <w:r>
        <w:rPr>
          <w:rFonts w:hint="eastAsia" w:ascii="宋体" w:hAnsi="宋体" w:cs="微软雅黑"/>
          <w:color w:val="auto"/>
          <w:sz w:val="24"/>
          <w:szCs w:val="24"/>
          <w:lang w:val="en-US" w:eastAsia="zh-CN"/>
        </w:rPr>
        <w:t xml:space="preserve"> </w:t>
      </w:r>
      <w:r>
        <w:rPr>
          <w:rFonts w:hint="eastAsia" w:ascii="宋体" w:hAnsi="宋体" w:cs="微软雅黑"/>
          <w:color w:val="auto"/>
          <w:sz w:val="24"/>
          <w:szCs w:val="24"/>
        </w:rPr>
        <w:t>评标标准和评标方法；</w:t>
      </w:r>
    </w:p>
    <w:p>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第六部分 政府采购合同；</w:t>
      </w:r>
    </w:p>
    <w:p>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第七部分 电子投标文件格式。</w:t>
      </w:r>
    </w:p>
    <w:p>
      <w:pPr>
        <w:pStyle w:val="53"/>
        <w:tabs>
          <w:tab w:val="clear" w:pos="709"/>
        </w:tabs>
        <w:snapToGrid w:val="0"/>
        <w:spacing w:line="400" w:lineRule="exact"/>
        <w:rPr>
          <w:rFonts w:cs="微软雅黑"/>
          <w:color w:val="auto"/>
          <w:sz w:val="24"/>
          <w:szCs w:val="24"/>
        </w:rPr>
      </w:pPr>
      <w:r>
        <w:rPr>
          <w:rFonts w:hint="eastAsia" w:cs="微软雅黑"/>
          <w:color w:val="auto"/>
          <w:sz w:val="24"/>
          <w:szCs w:val="24"/>
        </w:rPr>
        <w:t>投标前招标文件的澄清和修改</w:t>
      </w:r>
    </w:p>
    <w:p>
      <w:pPr>
        <w:pStyle w:val="53"/>
        <w:numPr>
          <w:ilvl w:val="1"/>
          <w:numId w:val="3"/>
        </w:numPr>
        <w:spacing w:line="400" w:lineRule="exact"/>
        <w:rPr>
          <w:rFonts w:cs="微软雅黑"/>
          <w:color w:val="auto"/>
          <w:sz w:val="24"/>
          <w:szCs w:val="24"/>
        </w:rPr>
      </w:pPr>
      <w:r>
        <w:rPr>
          <w:rFonts w:hint="eastAsia" w:cs="微软雅黑"/>
          <w:color w:val="auto"/>
          <w:sz w:val="24"/>
          <w:szCs w:val="24"/>
        </w:rPr>
        <w:t>任何已按规定程序下载招标文件的潜在投标人，均可要求对招标文件进行澄清或修改。</w:t>
      </w:r>
    </w:p>
    <w:p>
      <w:pPr>
        <w:pStyle w:val="53"/>
        <w:numPr>
          <w:ilvl w:val="1"/>
          <w:numId w:val="3"/>
        </w:numPr>
        <w:spacing w:line="400" w:lineRule="exact"/>
        <w:rPr>
          <w:rFonts w:cs="微软雅黑"/>
          <w:color w:val="auto"/>
          <w:sz w:val="24"/>
          <w:szCs w:val="24"/>
        </w:rPr>
      </w:pPr>
      <w:r>
        <w:rPr>
          <w:rFonts w:cs="微软雅黑"/>
          <w:color w:val="auto"/>
          <w:sz w:val="24"/>
          <w:szCs w:val="24"/>
        </w:rPr>
        <w:t>采购人或者</w:t>
      </w:r>
      <w:r>
        <w:rPr>
          <w:rFonts w:hint="eastAsia" w:cs="微软雅黑"/>
          <w:color w:val="auto"/>
          <w:sz w:val="24"/>
          <w:szCs w:val="24"/>
        </w:rPr>
        <w:t>采购中心</w:t>
      </w:r>
      <w:r>
        <w:rPr>
          <w:rFonts w:cs="微软雅黑"/>
          <w:color w:val="auto"/>
          <w:sz w:val="24"/>
          <w:szCs w:val="24"/>
        </w:rPr>
        <w:t>可以对已发出的招标文件、投标邀请书进行必要的澄清或者修改。澄清或者修改的内容为招标文件、投标邀请书的组成部分。</w:t>
      </w:r>
    </w:p>
    <w:p>
      <w:pPr>
        <w:pStyle w:val="53"/>
        <w:numPr>
          <w:ilvl w:val="1"/>
          <w:numId w:val="3"/>
        </w:numPr>
        <w:spacing w:line="400" w:lineRule="exact"/>
        <w:rPr>
          <w:rFonts w:cs="微软雅黑"/>
          <w:color w:val="auto"/>
          <w:sz w:val="24"/>
          <w:szCs w:val="24"/>
        </w:rPr>
      </w:pPr>
      <w:r>
        <w:rPr>
          <w:rFonts w:cs="微软雅黑"/>
          <w:color w:val="auto"/>
          <w:sz w:val="24"/>
          <w:szCs w:val="24"/>
        </w:rPr>
        <w:t>澄清或者修改的内容可能影响投标文件编制的，应当在投标截止时间至少15日前，</w:t>
      </w:r>
      <w:r>
        <w:rPr>
          <w:rFonts w:hint="eastAsia" w:cs="微软雅黑"/>
          <w:color w:val="auto"/>
          <w:sz w:val="24"/>
          <w:szCs w:val="24"/>
        </w:rPr>
        <w:t>在采购中心网站及本项目招标公告发布的指定媒体上以公告的形式通知下载招标文件的潜在投标人，不足15日的，</w:t>
      </w:r>
      <w:r>
        <w:rPr>
          <w:rFonts w:cs="微软雅黑"/>
          <w:color w:val="auto"/>
          <w:sz w:val="24"/>
          <w:szCs w:val="24"/>
        </w:rPr>
        <w:t>应当顺延提交投标文件的截止时间</w:t>
      </w:r>
      <w:r>
        <w:rPr>
          <w:rFonts w:hint="eastAsia" w:cs="微软雅黑"/>
          <w:color w:val="auto"/>
          <w:sz w:val="24"/>
          <w:szCs w:val="24"/>
        </w:rPr>
        <w:t>。</w:t>
      </w:r>
    </w:p>
    <w:p>
      <w:pPr>
        <w:pStyle w:val="53"/>
        <w:numPr>
          <w:ilvl w:val="0"/>
          <w:numId w:val="0"/>
        </w:numPr>
        <w:spacing w:line="400" w:lineRule="exact"/>
        <w:ind w:left="709"/>
        <w:rPr>
          <w:rFonts w:cs="微软雅黑"/>
          <w:color w:val="auto"/>
        </w:rPr>
      </w:pPr>
    </w:p>
    <w:p>
      <w:pPr>
        <w:pStyle w:val="4"/>
        <w:spacing w:before="0" w:after="120" w:line="400" w:lineRule="exact"/>
        <w:ind w:left="238"/>
        <w:rPr>
          <w:rFonts w:ascii="宋体" w:hAnsi="宋体" w:eastAsia="宋体" w:cs="微软雅黑"/>
          <w:bCs w:val="0"/>
          <w:color w:val="auto"/>
          <w:sz w:val="24"/>
          <w:szCs w:val="24"/>
        </w:rPr>
      </w:pPr>
      <w:bookmarkStart w:id="41" w:name="_Toc328815994"/>
      <w:r>
        <w:rPr>
          <w:rFonts w:hint="eastAsia" w:ascii="宋体" w:hAnsi="宋体" w:eastAsia="宋体" w:cs="微软雅黑"/>
          <w:bCs w:val="0"/>
          <w:color w:val="auto"/>
          <w:sz w:val="24"/>
          <w:szCs w:val="24"/>
        </w:rPr>
        <w:t>电子投标文件</w:t>
      </w:r>
      <w:bookmarkEnd w:id="41"/>
    </w:p>
    <w:p>
      <w:pPr>
        <w:pStyle w:val="53"/>
        <w:tabs>
          <w:tab w:val="clear" w:pos="709"/>
        </w:tabs>
        <w:spacing w:line="400" w:lineRule="exact"/>
        <w:rPr>
          <w:rFonts w:cs="微软雅黑"/>
          <w:color w:val="auto"/>
          <w:sz w:val="24"/>
          <w:szCs w:val="24"/>
        </w:rPr>
      </w:pPr>
      <w:r>
        <w:rPr>
          <w:rFonts w:hint="eastAsia"/>
          <w:color w:val="auto"/>
          <w:sz w:val="24"/>
          <w:szCs w:val="24"/>
        </w:rPr>
        <w:t>投标范围、电子</w:t>
      </w:r>
      <w:r>
        <w:rPr>
          <w:rFonts w:hint="eastAsia" w:cs="微软雅黑"/>
          <w:color w:val="auto"/>
          <w:sz w:val="24"/>
          <w:szCs w:val="24"/>
        </w:rPr>
        <w:t>投标文件的语言和计量单位</w:t>
      </w:r>
    </w:p>
    <w:p>
      <w:pPr>
        <w:pStyle w:val="53"/>
        <w:numPr>
          <w:ilvl w:val="1"/>
          <w:numId w:val="3"/>
        </w:numPr>
        <w:snapToGrid w:val="0"/>
        <w:spacing w:line="400" w:lineRule="exact"/>
        <w:rPr>
          <w:rFonts w:cs="微软雅黑"/>
          <w:color w:val="auto"/>
          <w:sz w:val="24"/>
          <w:szCs w:val="24"/>
        </w:rPr>
      </w:pPr>
      <w:r>
        <w:rPr>
          <w:rFonts w:hint="eastAsia"/>
          <w:color w:val="auto"/>
          <w:sz w:val="24"/>
          <w:szCs w:val="24"/>
        </w:rPr>
        <w:t>投标人可以对招标文件的其中一包或几包或全部包进行投标，但投标报价须包含一包中采购清单及采购需求中所列的全部内容，不得将一包中的内容拆开投标，拆开投标的，作无效投标处理。</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投标人提交的电子投标文件（包括技术文件和资料、图纸中的说明）以及投标人与采购中心就有关投标的所有来往函电均应使用中文简体字。</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电子投标文件所使用的计量单位，应使用国家法定计量单位。</w:t>
      </w:r>
    </w:p>
    <w:p>
      <w:pPr>
        <w:spacing w:line="400" w:lineRule="exact"/>
        <w:rPr>
          <w:rFonts w:ascii="宋体" w:hAnsi="宋体" w:cs="微软雅黑"/>
          <w:color w:val="auto"/>
          <w:sz w:val="21"/>
          <w:szCs w:val="21"/>
        </w:rPr>
      </w:pPr>
    </w:p>
    <w:p>
      <w:pPr>
        <w:pStyle w:val="53"/>
        <w:tabs>
          <w:tab w:val="clear" w:pos="709"/>
        </w:tabs>
        <w:snapToGrid w:val="0"/>
        <w:spacing w:line="400" w:lineRule="exact"/>
        <w:rPr>
          <w:rFonts w:cs="微软雅黑"/>
          <w:color w:val="auto"/>
          <w:sz w:val="24"/>
          <w:szCs w:val="24"/>
        </w:rPr>
      </w:pPr>
      <w:r>
        <w:rPr>
          <w:rFonts w:hint="eastAsia" w:cs="微软雅黑"/>
          <w:color w:val="auto"/>
          <w:sz w:val="24"/>
          <w:szCs w:val="24"/>
        </w:rPr>
        <w:t>电子投标文件的组成及相关内容要求</w:t>
      </w:r>
    </w:p>
    <w:p>
      <w:pPr>
        <w:pStyle w:val="53"/>
        <w:numPr>
          <w:ilvl w:val="1"/>
          <w:numId w:val="3"/>
        </w:numPr>
        <w:snapToGrid w:val="0"/>
        <w:spacing w:beforeLines="0" w:afterLines="0" w:line="360" w:lineRule="auto"/>
        <w:ind w:left="720" w:leftChars="0" w:hanging="720" w:hangingChars="300"/>
        <w:rPr>
          <w:rFonts w:ascii="宋体" w:hAnsi="宋体" w:cs="微软雅黑"/>
          <w:color w:val="auto"/>
          <w:sz w:val="24"/>
          <w:szCs w:val="24"/>
        </w:rPr>
      </w:pPr>
      <w:r>
        <w:rPr>
          <w:rFonts w:hint="eastAsia" w:cs="微软雅黑"/>
          <w:color w:val="auto"/>
          <w:sz w:val="24"/>
          <w:szCs w:val="24"/>
        </w:rPr>
        <w:t>投标人应详细阅读招标文件的全部内容。招标文件中所有带</w:t>
      </w:r>
      <w:r>
        <w:rPr>
          <w:rFonts w:hint="eastAsia" w:ascii="宋体" w:hAnsi="宋体"/>
          <w:color w:val="auto"/>
          <w:sz w:val="24"/>
          <w:szCs w:val="24"/>
        </w:rPr>
        <w:t>★</w:t>
      </w:r>
      <w:r>
        <w:rPr>
          <w:rFonts w:hint="eastAsia" w:cs="微软雅黑"/>
          <w:color w:val="auto"/>
          <w:sz w:val="24"/>
          <w:szCs w:val="24"/>
        </w:rPr>
        <w:t>条款均为实质性响应条款，电子投标文件须完全响应，未实质响应的，作无效投标处理。</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电子投标文件按照招标文件</w:t>
      </w:r>
      <w:r>
        <w:rPr>
          <w:rFonts w:hint="eastAsia" w:cs="微软雅黑"/>
          <w:color w:val="auto"/>
          <w:sz w:val="24"/>
          <w:szCs w:val="24"/>
          <w:u w:val="single"/>
        </w:rPr>
        <w:t>第二部分 投标人须知前附表及第七部分 投标文件格式</w:t>
      </w:r>
      <w:r>
        <w:rPr>
          <w:rFonts w:hint="eastAsia" w:cs="微软雅黑"/>
          <w:color w:val="auto"/>
          <w:sz w:val="24"/>
          <w:szCs w:val="24"/>
        </w:rPr>
        <w:t>及北京市政府采购电子交易平台中规定的顺序和格式，</w:t>
      </w:r>
      <w:r>
        <w:rPr>
          <w:rFonts w:hint="eastAsia" w:cs="微软雅黑"/>
          <w:color w:val="auto"/>
          <w:sz w:val="24"/>
          <w:szCs w:val="24"/>
          <w:lang w:eastAsia="zh-CN"/>
        </w:rPr>
        <w:t>编制并</w:t>
      </w:r>
      <w:r>
        <w:rPr>
          <w:rFonts w:hint="eastAsia" w:cs="微软雅黑"/>
          <w:color w:val="auto"/>
          <w:sz w:val="24"/>
          <w:szCs w:val="24"/>
        </w:rPr>
        <w:t>上传提交。</w:t>
      </w:r>
    </w:p>
    <w:p>
      <w:pPr>
        <w:pStyle w:val="53"/>
        <w:numPr>
          <w:ilvl w:val="1"/>
          <w:numId w:val="3"/>
        </w:numPr>
        <w:spacing w:line="400" w:lineRule="exact"/>
        <w:rPr>
          <w:rFonts w:cs="微软雅黑"/>
          <w:color w:val="auto"/>
          <w:sz w:val="24"/>
          <w:szCs w:val="24"/>
        </w:rPr>
      </w:pPr>
      <w:r>
        <w:rPr>
          <w:rFonts w:hint="eastAsia" w:cs="微软雅黑"/>
          <w:color w:val="auto"/>
          <w:sz w:val="24"/>
          <w:szCs w:val="24"/>
        </w:rPr>
        <w:t>对于招标文件中提及的复印件要求，照片件、扫描件、影印件、截图件等与其具有同等效力。</w:t>
      </w:r>
    </w:p>
    <w:p>
      <w:pPr>
        <w:pStyle w:val="53"/>
        <w:numPr>
          <w:ilvl w:val="1"/>
          <w:numId w:val="3"/>
        </w:numPr>
        <w:spacing w:line="400" w:lineRule="exact"/>
        <w:rPr>
          <w:rFonts w:cs="微软雅黑"/>
          <w:color w:val="auto"/>
          <w:sz w:val="24"/>
          <w:szCs w:val="24"/>
        </w:rPr>
      </w:pPr>
      <w:r>
        <w:rPr>
          <w:rFonts w:hint="eastAsia" w:cs="微软雅黑"/>
          <w:color w:val="auto"/>
          <w:sz w:val="24"/>
          <w:szCs w:val="24"/>
        </w:rPr>
        <w:t>电子投标文件中所提供的资料均应真实有效，无效的文件视为未提供。</w:t>
      </w:r>
    </w:p>
    <w:p>
      <w:pPr>
        <w:pStyle w:val="53"/>
        <w:tabs>
          <w:tab w:val="clear" w:pos="709"/>
        </w:tabs>
        <w:snapToGrid w:val="0"/>
        <w:spacing w:line="400" w:lineRule="exact"/>
        <w:rPr>
          <w:rFonts w:cs="微软雅黑"/>
          <w:color w:val="auto"/>
          <w:sz w:val="24"/>
          <w:szCs w:val="24"/>
        </w:rPr>
      </w:pPr>
      <w:r>
        <w:rPr>
          <w:rFonts w:hint="eastAsia" w:cs="微软雅黑"/>
          <w:color w:val="auto"/>
          <w:sz w:val="24"/>
          <w:szCs w:val="24"/>
        </w:rPr>
        <w:t>投标报价</w:t>
      </w:r>
    </w:p>
    <w:p>
      <w:pPr>
        <w:numPr>
          <w:ilvl w:val="0"/>
          <w:numId w:val="8"/>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所有投标报价无特殊要求的均以人民币元为计算单位。</w:t>
      </w:r>
    </w:p>
    <w:p>
      <w:pPr>
        <w:numPr>
          <w:ilvl w:val="0"/>
          <w:numId w:val="8"/>
        </w:numPr>
        <w:snapToGrid w:val="0"/>
        <w:spacing w:line="400" w:lineRule="exact"/>
        <w:rPr>
          <w:rFonts w:ascii="宋体" w:hAnsi="宋体" w:cs="微软雅黑"/>
          <w:b/>
          <w:color w:val="auto"/>
          <w:sz w:val="24"/>
          <w:szCs w:val="24"/>
        </w:rPr>
      </w:pPr>
      <w:r>
        <w:rPr>
          <w:rFonts w:hint="eastAsia" w:ascii="宋体" w:hAnsi="宋体" w:cs="微软雅黑"/>
          <w:b/>
          <w:color w:val="auto"/>
          <w:sz w:val="24"/>
          <w:szCs w:val="24"/>
        </w:rPr>
        <w:t>采购人不得向供应商索要或者接受其给予的赠品、回扣或者与采购无关的其他商品、服务。</w:t>
      </w:r>
    </w:p>
    <w:p>
      <w:pPr>
        <w:numPr>
          <w:ilvl w:val="0"/>
          <w:numId w:val="8"/>
        </w:numPr>
        <w:snapToGrid w:val="0"/>
        <w:spacing w:line="400" w:lineRule="exact"/>
        <w:rPr>
          <w:rFonts w:ascii="宋体" w:hAnsi="宋体" w:cs="微软雅黑"/>
          <w:b/>
          <w:color w:val="auto"/>
          <w:sz w:val="24"/>
          <w:szCs w:val="24"/>
        </w:rPr>
      </w:pPr>
      <w:r>
        <w:rPr>
          <w:rFonts w:hint="eastAsia" w:ascii="宋体" w:hAnsi="宋体" w:cs="微软雅黑"/>
          <w:b/>
          <w:color w:val="auto"/>
          <w:sz w:val="24"/>
          <w:szCs w:val="24"/>
        </w:rPr>
        <w:t>请投标人根据</w:t>
      </w:r>
      <w:r>
        <w:rPr>
          <w:rFonts w:hint="eastAsia" w:ascii="宋体" w:hAnsi="宋体" w:cs="微软雅黑"/>
          <w:b/>
          <w:color w:val="auto"/>
          <w:sz w:val="24"/>
          <w:szCs w:val="24"/>
          <w:lang w:eastAsia="zh-CN"/>
        </w:rPr>
        <w:t>招标文件要求</w:t>
      </w:r>
      <w:r>
        <w:rPr>
          <w:rFonts w:hint="eastAsia" w:ascii="宋体" w:hAnsi="宋体" w:cs="微软雅黑"/>
          <w:b/>
          <w:color w:val="auto"/>
          <w:sz w:val="24"/>
          <w:szCs w:val="24"/>
        </w:rPr>
        <w:t>在电子投标制作工具客户端填报投标一览表，填报的投标总价不得为零、为空，否则作无效电子投标文件处理。</w:t>
      </w:r>
    </w:p>
    <w:p>
      <w:pPr>
        <w:numPr>
          <w:ilvl w:val="0"/>
          <w:numId w:val="8"/>
        </w:numPr>
        <w:snapToGrid w:val="0"/>
        <w:spacing w:line="400" w:lineRule="exact"/>
        <w:rPr>
          <w:rFonts w:ascii="宋体" w:hAnsi="宋体" w:cs="微软雅黑"/>
          <w:b/>
          <w:color w:val="auto"/>
          <w:sz w:val="24"/>
          <w:szCs w:val="24"/>
        </w:rPr>
      </w:pPr>
      <w:r>
        <w:rPr>
          <w:rFonts w:hint="eastAsia" w:ascii="宋体" w:hAnsi="宋体" w:cs="微软雅黑"/>
          <w:b/>
          <w:color w:val="auto"/>
          <w:sz w:val="24"/>
          <w:szCs w:val="24"/>
        </w:rPr>
        <w:t>请投标人按照本招标文件第四部分采购需求中采购清单列明的项目填写投标分项报价表，不得增项或减项，不得修改各项目对应的采购数量，填报的分项报价和投标总价均不得为零、为空，否则作无效投标处理。</w:t>
      </w:r>
    </w:p>
    <w:p>
      <w:pPr>
        <w:numPr>
          <w:ilvl w:val="0"/>
          <w:numId w:val="8"/>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本项目所涉及的运输、施工、安装、集成、测评、测试、调试、验收、培训、备品和工具、保险、售后服务、税款、质检、行政许可及相关证书等事项未在采购清单中单独列项的，上述全部费用均应包含在采购清单已列明的各项投标报价中，不得单独列项报价，否则作无效投标处理。</w:t>
      </w:r>
    </w:p>
    <w:p>
      <w:pPr>
        <w:numPr>
          <w:ilvl w:val="0"/>
          <w:numId w:val="8"/>
        </w:numPr>
        <w:snapToGrid w:val="0"/>
        <w:spacing w:line="400" w:lineRule="exact"/>
        <w:rPr>
          <w:rFonts w:ascii="宋体" w:hAnsi="宋体" w:cs="微软雅黑"/>
          <w:color w:val="auto"/>
          <w:sz w:val="24"/>
          <w:szCs w:val="24"/>
        </w:rPr>
      </w:pPr>
      <w:r>
        <w:rPr>
          <w:rFonts w:hint="eastAsia" w:ascii="宋体" w:hAnsi="宋体" w:cs="微软雅黑"/>
          <w:bCs/>
          <w:color w:val="auto"/>
          <w:sz w:val="24"/>
          <w:szCs w:val="24"/>
        </w:rPr>
        <w:t>本次招标不接受可选择或可调整的投标方案和报价，任何有选择的或可调整的投标方案和报价将被视为非实质性响应投标而作无效投标处理。</w:t>
      </w:r>
    </w:p>
    <w:p>
      <w:pPr>
        <w:numPr>
          <w:ilvl w:val="0"/>
          <w:numId w:val="8"/>
        </w:numPr>
        <w:snapToGrid w:val="0"/>
        <w:spacing w:line="400" w:lineRule="exact"/>
        <w:rPr>
          <w:rFonts w:ascii="宋体" w:hAnsi="宋体" w:cs="微软雅黑"/>
          <w:bCs/>
          <w:color w:val="auto"/>
          <w:sz w:val="24"/>
          <w:szCs w:val="24"/>
        </w:rPr>
      </w:pPr>
      <w:r>
        <w:rPr>
          <w:rFonts w:hint="eastAsia" w:ascii="宋体" w:hAnsi="宋体" w:cs="微软雅黑"/>
          <w:b/>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8"/>
        </w:numPr>
        <w:snapToGrid w:val="0"/>
        <w:spacing w:line="400" w:lineRule="exact"/>
        <w:rPr>
          <w:rFonts w:ascii="宋体" w:hAnsi="宋体" w:cs="微软雅黑"/>
          <w:bCs/>
          <w:color w:val="auto"/>
          <w:sz w:val="21"/>
          <w:szCs w:val="21"/>
        </w:rPr>
      </w:pPr>
      <w:r>
        <w:rPr>
          <w:rFonts w:hint="eastAsia" w:ascii="宋体" w:hAnsi="宋体" w:cs="微软雅黑"/>
          <w:bCs/>
          <w:color w:val="auto"/>
          <w:sz w:val="24"/>
          <w:szCs w:val="24"/>
        </w:rPr>
        <w:t>最低报价不能作为中标的保证。</w:t>
      </w:r>
    </w:p>
    <w:p>
      <w:pPr>
        <w:pStyle w:val="53"/>
        <w:tabs>
          <w:tab w:val="clear" w:pos="709"/>
        </w:tabs>
        <w:spacing w:line="400" w:lineRule="exact"/>
        <w:rPr>
          <w:rFonts w:cs="微软雅黑"/>
          <w:color w:val="auto"/>
          <w:sz w:val="24"/>
          <w:szCs w:val="24"/>
        </w:rPr>
      </w:pPr>
      <w:r>
        <w:rPr>
          <w:rFonts w:hint="eastAsia" w:cs="微软雅黑"/>
          <w:color w:val="auto"/>
          <w:sz w:val="24"/>
          <w:szCs w:val="24"/>
        </w:rPr>
        <w:t>电子投标文件的有效期</w:t>
      </w:r>
    </w:p>
    <w:p>
      <w:pPr>
        <w:pStyle w:val="53"/>
        <w:numPr>
          <w:ilvl w:val="1"/>
          <w:numId w:val="3"/>
        </w:numPr>
        <w:spacing w:line="400" w:lineRule="exact"/>
        <w:rPr>
          <w:rFonts w:cs="微软雅黑"/>
          <w:color w:val="auto"/>
          <w:sz w:val="24"/>
          <w:szCs w:val="24"/>
        </w:rPr>
      </w:pPr>
      <w:r>
        <w:rPr>
          <w:rFonts w:hint="eastAsia" w:cs="微软雅黑"/>
          <w:color w:val="auto"/>
          <w:sz w:val="24"/>
          <w:szCs w:val="24"/>
        </w:rPr>
        <w:t>本项目电子投标文件的有效期详见投标人须知前附表。有效期短于该规定期限的投标作无效投标处理。</w:t>
      </w:r>
    </w:p>
    <w:p>
      <w:pPr>
        <w:pStyle w:val="53"/>
        <w:numPr>
          <w:ilvl w:val="1"/>
          <w:numId w:val="3"/>
        </w:numPr>
        <w:spacing w:line="400" w:lineRule="exact"/>
        <w:rPr>
          <w:rFonts w:cs="微软雅黑"/>
          <w:color w:val="auto"/>
          <w:sz w:val="24"/>
          <w:szCs w:val="24"/>
        </w:rPr>
      </w:pPr>
      <w:r>
        <w:rPr>
          <w:rFonts w:hint="eastAsia" w:cs="微软雅黑"/>
          <w:color w:val="auto"/>
          <w:sz w:val="24"/>
          <w:szCs w:val="24"/>
        </w:rPr>
        <w:t>采购中心可根据实际情况，在原投标有效期截止之前，征询投标人是否同意延长电子投标文件的有效期，投标人同意延长的须作出书面声明。在延长的投标有效期内，投标人将不会被要求和允许修正其投标。</w:t>
      </w:r>
    </w:p>
    <w:p>
      <w:pPr>
        <w:pStyle w:val="53"/>
        <w:tabs>
          <w:tab w:val="clear" w:pos="709"/>
        </w:tabs>
        <w:spacing w:line="400" w:lineRule="exact"/>
        <w:rPr>
          <w:rFonts w:cs="微软雅黑"/>
          <w:color w:val="auto"/>
          <w:sz w:val="24"/>
          <w:szCs w:val="24"/>
        </w:rPr>
      </w:pPr>
      <w:r>
        <w:rPr>
          <w:rFonts w:hint="eastAsia" w:cs="微软雅黑"/>
          <w:color w:val="auto"/>
          <w:sz w:val="24"/>
          <w:szCs w:val="24"/>
        </w:rPr>
        <w:t>电子投标文件的签署及盖章规定</w:t>
      </w:r>
    </w:p>
    <w:p>
      <w:pPr>
        <w:pStyle w:val="53"/>
        <w:numPr>
          <w:ilvl w:val="1"/>
          <w:numId w:val="3"/>
        </w:numPr>
        <w:spacing w:line="400" w:lineRule="exact"/>
        <w:rPr>
          <w:rFonts w:cs="微软雅黑"/>
          <w:color w:val="auto"/>
          <w:sz w:val="24"/>
          <w:szCs w:val="24"/>
        </w:rPr>
      </w:pPr>
      <w:r>
        <w:rPr>
          <w:rFonts w:hint="eastAsia" w:cs="微软雅黑"/>
          <w:color w:val="auto"/>
          <w:sz w:val="24"/>
          <w:szCs w:val="24"/>
        </w:rPr>
        <w:t>组成电子投标文件的各项文件均应遵守本条。</w:t>
      </w:r>
    </w:p>
    <w:p>
      <w:pPr>
        <w:pStyle w:val="53"/>
        <w:numPr>
          <w:ilvl w:val="1"/>
          <w:numId w:val="3"/>
        </w:numPr>
        <w:spacing w:line="400" w:lineRule="exact"/>
        <w:rPr>
          <w:rFonts w:cs="微软雅黑"/>
          <w:color w:val="auto"/>
          <w:sz w:val="24"/>
          <w:szCs w:val="24"/>
        </w:rPr>
      </w:pPr>
      <w:r>
        <w:rPr>
          <w:rFonts w:hint="eastAsia" w:cs="微软雅黑"/>
          <w:color w:val="auto"/>
          <w:sz w:val="24"/>
          <w:szCs w:val="24"/>
        </w:rPr>
        <w:t>投标人须根据招标文件要求签字或加盖投标人公章。</w:t>
      </w:r>
    </w:p>
    <w:p>
      <w:pPr>
        <w:pStyle w:val="53"/>
        <w:numPr>
          <w:ilvl w:val="1"/>
          <w:numId w:val="3"/>
        </w:numPr>
        <w:spacing w:line="400" w:lineRule="exact"/>
        <w:rPr>
          <w:rFonts w:cs="微软雅黑"/>
          <w:b/>
          <w:color w:val="auto"/>
          <w:sz w:val="24"/>
          <w:szCs w:val="24"/>
        </w:rPr>
      </w:pPr>
      <w:r>
        <w:rPr>
          <w:rFonts w:hint="eastAsia" w:cs="微软雅黑"/>
          <w:b/>
          <w:color w:val="auto"/>
          <w:sz w:val="24"/>
          <w:szCs w:val="24"/>
        </w:rPr>
        <w:t>本招标文件中所要求加盖的投标人公章是指在电子投标文件中使用</w:t>
      </w:r>
      <w:r>
        <w:rPr>
          <w:rFonts w:hint="eastAsia" w:cs="微软雅黑"/>
          <w:b/>
          <w:color w:val="auto"/>
          <w:sz w:val="24"/>
          <w:szCs w:val="24"/>
          <w:lang w:eastAsia="zh-CN"/>
        </w:rPr>
        <w:t>电子营业执照或</w:t>
      </w:r>
      <w:r>
        <w:rPr>
          <w:rFonts w:hint="eastAsia" w:cs="微软雅黑"/>
          <w:b/>
          <w:color w:val="auto"/>
          <w:sz w:val="24"/>
          <w:szCs w:val="24"/>
        </w:rPr>
        <w:t>CA数字认证证书加盖与投标人名称全称相一致的“行政公章”的</w:t>
      </w:r>
      <w:r>
        <w:rPr>
          <w:rFonts w:hint="eastAsia" w:cs="微软雅黑"/>
          <w:b/>
          <w:color w:val="auto"/>
          <w:sz w:val="24"/>
          <w:szCs w:val="24"/>
          <w:u w:val="single"/>
        </w:rPr>
        <w:t>电子签章</w:t>
      </w:r>
      <w:r>
        <w:rPr>
          <w:rFonts w:hint="eastAsia" w:cs="微软雅黑"/>
          <w:b/>
          <w:color w:val="auto"/>
          <w:sz w:val="24"/>
          <w:szCs w:val="24"/>
        </w:rPr>
        <w:t>，不得加盖其它“合同专用章、投标专用章、财务专用章”等非行政公章；签字是指签字或名章。不符合本条规定的盖章为无效盖章。</w:t>
      </w:r>
    </w:p>
    <w:p>
      <w:pPr>
        <w:pStyle w:val="4"/>
        <w:spacing w:before="0" w:after="120" w:line="400" w:lineRule="exact"/>
        <w:ind w:left="238"/>
        <w:rPr>
          <w:rFonts w:ascii="宋体" w:hAnsi="宋体" w:eastAsia="宋体" w:cs="微软雅黑"/>
          <w:bCs w:val="0"/>
          <w:color w:val="auto"/>
          <w:sz w:val="24"/>
          <w:szCs w:val="24"/>
        </w:rPr>
      </w:pPr>
      <w:bookmarkStart w:id="42" w:name="_Toc328815995"/>
      <w:r>
        <w:rPr>
          <w:rFonts w:hint="eastAsia" w:ascii="宋体" w:hAnsi="宋体" w:eastAsia="宋体" w:cs="微软雅黑"/>
          <w:bCs w:val="0"/>
          <w:color w:val="auto"/>
          <w:sz w:val="24"/>
          <w:szCs w:val="24"/>
        </w:rPr>
        <w:t>电子投标文件的</w:t>
      </w:r>
      <w:bookmarkEnd w:id="42"/>
      <w:r>
        <w:rPr>
          <w:rFonts w:hint="eastAsia" w:ascii="宋体" w:hAnsi="宋体" w:eastAsia="宋体" w:cs="微软雅黑"/>
          <w:bCs w:val="0"/>
          <w:color w:val="auto"/>
          <w:sz w:val="24"/>
          <w:szCs w:val="24"/>
        </w:rPr>
        <w:t xml:space="preserve">提交     </w:t>
      </w:r>
    </w:p>
    <w:p>
      <w:pPr>
        <w:pStyle w:val="53"/>
        <w:tabs>
          <w:tab w:val="clear" w:pos="709"/>
        </w:tabs>
        <w:spacing w:line="400" w:lineRule="exact"/>
        <w:rPr>
          <w:rFonts w:cs="微软雅黑"/>
          <w:color w:val="auto"/>
          <w:sz w:val="24"/>
          <w:szCs w:val="24"/>
        </w:rPr>
      </w:pPr>
      <w:r>
        <w:rPr>
          <w:rFonts w:hint="eastAsia" w:cs="微软雅黑"/>
          <w:color w:val="auto"/>
          <w:sz w:val="24"/>
          <w:szCs w:val="24"/>
        </w:rPr>
        <w:t>电子投标文件的制作和上传</w:t>
      </w:r>
    </w:p>
    <w:p>
      <w:pPr>
        <w:pStyle w:val="53"/>
        <w:numPr>
          <w:ilvl w:val="0"/>
          <w:numId w:val="0"/>
        </w:numPr>
        <w:spacing w:line="400" w:lineRule="exact"/>
        <w:ind w:left="709"/>
        <w:rPr>
          <w:rFonts w:cs="微软雅黑"/>
          <w:color w:val="auto"/>
          <w:sz w:val="24"/>
          <w:szCs w:val="24"/>
        </w:rPr>
      </w:pPr>
      <w:r>
        <w:rPr>
          <w:rFonts w:hint="eastAsia" w:cs="微软雅黑"/>
          <w:color w:val="auto"/>
          <w:sz w:val="24"/>
          <w:szCs w:val="24"/>
        </w:rPr>
        <w:t>具体说明及要求详见招标文件第一部分投标邀请。</w:t>
      </w:r>
    </w:p>
    <w:p>
      <w:pPr>
        <w:pStyle w:val="53"/>
        <w:tabs>
          <w:tab w:val="clear" w:pos="709"/>
        </w:tabs>
        <w:spacing w:line="400" w:lineRule="exact"/>
        <w:rPr>
          <w:rFonts w:cs="微软雅黑"/>
          <w:color w:val="auto"/>
          <w:sz w:val="24"/>
          <w:szCs w:val="24"/>
        </w:rPr>
      </w:pPr>
      <w:r>
        <w:rPr>
          <w:rFonts w:hint="eastAsia" w:cs="微软雅黑"/>
          <w:color w:val="auto"/>
          <w:sz w:val="24"/>
          <w:szCs w:val="24"/>
        </w:rPr>
        <w:t>电子投标截止时间</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投标人须在招标文件规定的电子投标截止时间前在北京市政府采购电子交易平台上传电子投标文件，否则投标无效。</w:t>
      </w:r>
    </w:p>
    <w:p>
      <w:pPr>
        <w:pStyle w:val="53"/>
        <w:tabs>
          <w:tab w:val="clear" w:pos="709"/>
        </w:tabs>
        <w:spacing w:line="400" w:lineRule="exact"/>
        <w:rPr>
          <w:rFonts w:cs="微软雅黑"/>
          <w:color w:val="auto"/>
          <w:sz w:val="24"/>
          <w:szCs w:val="24"/>
        </w:rPr>
      </w:pPr>
      <w:r>
        <w:rPr>
          <w:rFonts w:hint="eastAsia" w:cs="微软雅黑"/>
          <w:color w:val="auto"/>
          <w:sz w:val="24"/>
          <w:szCs w:val="24"/>
        </w:rPr>
        <w:t>电子投标文件的撤回和撤销</w:t>
      </w:r>
    </w:p>
    <w:p>
      <w:pPr>
        <w:pStyle w:val="53"/>
        <w:numPr>
          <w:ilvl w:val="1"/>
          <w:numId w:val="3"/>
        </w:numPr>
        <w:spacing w:line="400" w:lineRule="exact"/>
        <w:rPr>
          <w:rFonts w:cs="微软雅黑"/>
          <w:color w:val="auto"/>
          <w:sz w:val="24"/>
          <w:szCs w:val="24"/>
        </w:rPr>
      </w:pPr>
      <w:r>
        <w:rPr>
          <w:rFonts w:hint="eastAsia" w:cs="微软雅黑"/>
          <w:color w:val="auto"/>
          <w:sz w:val="24"/>
          <w:szCs w:val="24"/>
        </w:rPr>
        <w:t>在投标截止时间前，投标人可登陆北京市政府采购电子交易平台对所上传的电子投标文件在进行撤回或重新上传。</w:t>
      </w:r>
    </w:p>
    <w:p>
      <w:pPr>
        <w:pStyle w:val="53"/>
        <w:numPr>
          <w:ilvl w:val="1"/>
          <w:numId w:val="3"/>
        </w:numPr>
        <w:spacing w:line="400" w:lineRule="exact"/>
        <w:rPr>
          <w:rFonts w:cs="微软雅黑"/>
          <w:color w:val="auto"/>
          <w:sz w:val="24"/>
          <w:szCs w:val="24"/>
        </w:rPr>
      </w:pPr>
      <w:r>
        <w:rPr>
          <w:rFonts w:hint="eastAsia" w:cs="微软雅黑"/>
          <w:color w:val="auto"/>
          <w:sz w:val="24"/>
          <w:szCs w:val="24"/>
        </w:rPr>
        <w:t>在投标截止时间后，投标人不得在投标有效期内撤销其电子投标文件。</w:t>
      </w:r>
    </w:p>
    <w:p>
      <w:pPr>
        <w:pStyle w:val="4"/>
        <w:spacing w:before="0" w:after="120" w:line="400" w:lineRule="exact"/>
        <w:ind w:left="238"/>
        <w:rPr>
          <w:rFonts w:ascii="宋体" w:hAnsi="宋体" w:eastAsia="宋体" w:cs="微软雅黑"/>
          <w:bCs w:val="0"/>
          <w:color w:val="auto"/>
          <w:sz w:val="21"/>
          <w:szCs w:val="21"/>
        </w:rPr>
      </w:pPr>
      <w:bookmarkStart w:id="43" w:name="_Toc328815996"/>
      <w:r>
        <w:rPr>
          <w:rFonts w:hint="eastAsia" w:ascii="宋体" w:hAnsi="宋体" w:eastAsia="宋体" w:cs="微软雅黑"/>
          <w:bCs w:val="0"/>
          <w:color w:val="auto"/>
          <w:sz w:val="21"/>
          <w:szCs w:val="21"/>
        </w:rPr>
        <w:t>开标</w:t>
      </w:r>
      <w:bookmarkEnd w:id="43"/>
      <w:r>
        <w:rPr>
          <w:rFonts w:hint="eastAsia" w:ascii="宋体" w:hAnsi="宋体" w:eastAsia="宋体" w:cs="微软雅黑"/>
          <w:bCs w:val="0"/>
          <w:color w:val="auto"/>
          <w:sz w:val="21"/>
          <w:szCs w:val="21"/>
        </w:rPr>
        <w:t xml:space="preserve">、解密及唱标     </w:t>
      </w:r>
    </w:p>
    <w:p>
      <w:pPr>
        <w:pStyle w:val="53"/>
        <w:tabs>
          <w:tab w:val="clear" w:pos="709"/>
        </w:tabs>
        <w:spacing w:line="400" w:lineRule="exact"/>
        <w:rPr>
          <w:rFonts w:cs="微软雅黑"/>
          <w:color w:val="auto"/>
          <w:sz w:val="24"/>
          <w:szCs w:val="24"/>
        </w:rPr>
      </w:pPr>
      <w:r>
        <w:rPr>
          <w:rFonts w:hint="eastAsia" w:cs="微软雅黑"/>
          <w:color w:val="auto"/>
          <w:sz w:val="24"/>
          <w:szCs w:val="24"/>
        </w:rPr>
        <w:t>开标、解密及唱标</w:t>
      </w:r>
    </w:p>
    <w:p>
      <w:pPr>
        <w:pStyle w:val="53"/>
        <w:numPr>
          <w:ilvl w:val="1"/>
          <w:numId w:val="3"/>
        </w:numPr>
        <w:spacing w:line="400" w:lineRule="exact"/>
        <w:rPr>
          <w:rFonts w:cs="微软雅黑"/>
          <w:color w:val="auto"/>
          <w:sz w:val="24"/>
          <w:szCs w:val="24"/>
        </w:rPr>
      </w:pPr>
      <w:r>
        <w:rPr>
          <w:rFonts w:hint="eastAsia" w:cs="微软雅黑"/>
          <w:color w:val="auto"/>
          <w:sz w:val="24"/>
          <w:szCs w:val="24"/>
        </w:rPr>
        <w:t>本项目采用</w:t>
      </w:r>
      <w:r>
        <w:rPr>
          <w:rFonts w:hint="eastAsia"/>
          <w:color w:val="auto"/>
          <w:sz w:val="24"/>
          <w:szCs w:val="24"/>
        </w:rPr>
        <w:t>北京市政府采购电子交易平台</w:t>
      </w:r>
      <w:r>
        <w:rPr>
          <w:rFonts w:hint="eastAsia" w:cs="微软雅黑"/>
          <w:b/>
          <w:color w:val="auto"/>
          <w:sz w:val="24"/>
          <w:szCs w:val="24"/>
          <w:lang w:eastAsia="zh-CN"/>
        </w:rPr>
        <w:t>开标</w:t>
      </w:r>
      <w:r>
        <w:rPr>
          <w:rFonts w:hint="eastAsia" w:cs="微软雅黑"/>
          <w:color w:val="auto"/>
          <w:sz w:val="24"/>
          <w:szCs w:val="24"/>
        </w:rPr>
        <w:t>。</w:t>
      </w:r>
      <w:r>
        <w:rPr>
          <w:rFonts w:hint="eastAsia"/>
          <w:color w:val="auto"/>
          <w:sz w:val="24"/>
          <w:szCs w:val="24"/>
        </w:rPr>
        <w:t>采购</w:t>
      </w:r>
      <w:r>
        <w:rPr>
          <w:rFonts w:hint="eastAsia"/>
          <w:color w:val="auto"/>
          <w:sz w:val="24"/>
          <w:szCs w:val="24"/>
          <w:lang w:eastAsia="zh-CN"/>
        </w:rPr>
        <w:t>中心</w:t>
      </w:r>
      <w:r>
        <w:rPr>
          <w:rFonts w:hint="eastAsia"/>
          <w:color w:val="auto"/>
          <w:sz w:val="24"/>
          <w:szCs w:val="24"/>
        </w:rPr>
        <w:t>将按招标文件的规定，在投标截止时间的同一时间和招标文件预先确定的地点组织公开开标。</w:t>
      </w:r>
      <w:r>
        <w:rPr>
          <w:rFonts w:hint="eastAsia" w:cs="微软雅黑"/>
          <w:color w:val="auto"/>
          <w:sz w:val="24"/>
          <w:szCs w:val="24"/>
        </w:rPr>
        <w:t>投标人须在使用自身CA数字认证证书</w:t>
      </w:r>
      <w:r>
        <w:rPr>
          <w:rFonts w:hint="eastAsia" w:cs="微软雅黑"/>
          <w:color w:val="auto"/>
          <w:sz w:val="24"/>
          <w:szCs w:val="24"/>
          <w:lang w:eastAsia="zh-CN"/>
        </w:rPr>
        <w:t>或电子营业执照</w:t>
      </w:r>
      <w:r>
        <w:rPr>
          <w:rFonts w:hint="eastAsia" w:cs="微软雅黑"/>
          <w:color w:val="auto"/>
          <w:sz w:val="24"/>
          <w:szCs w:val="24"/>
        </w:rPr>
        <w:t>登录北京市政府采购电子交易平台，并在规定的解密截止时间内对其上传的电子投标文件进行</w:t>
      </w:r>
      <w:r>
        <w:rPr>
          <w:rFonts w:hint="eastAsia" w:cs="微软雅黑"/>
          <w:b/>
          <w:color w:val="auto"/>
          <w:sz w:val="24"/>
          <w:szCs w:val="24"/>
        </w:rPr>
        <w:t>解密。</w:t>
      </w:r>
      <w:r>
        <w:rPr>
          <w:rFonts w:ascii="宋体" w:hAnsi="宋体" w:eastAsia="宋体" w:cs="宋体"/>
          <w:sz w:val="24"/>
          <w:szCs w:val="24"/>
        </w:rPr>
        <w:t>因非系统原因导致的解</w:t>
      </w:r>
      <w:r>
        <w:rPr>
          <w:rFonts w:ascii="宋体" w:hAnsi="宋体" w:eastAsia="宋体" w:cs="宋体"/>
          <w:spacing w:val="-1"/>
          <w:sz w:val="24"/>
          <w:szCs w:val="24"/>
        </w:rPr>
        <w:t>密失败，视为</w:t>
      </w:r>
      <w:r>
        <w:rPr>
          <w:rFonts w:ascii="宋体" w:hAnsi="宋体" w:eastAsia="宋体" w:cs="宋体"/>
          <w:spacing w:val="-1"/>
          <w:sz w:val="24"/>
          <w:szCs w:val="24"/>
          <w14:textOutline w14:w="4359" w14:cap="flat" w14:cmpd="sng">
            <w14:solidFill>
              <w14:srgbClr w14:val="000000"/>
            </w14:solidFill>
            <w14:prstDash w14:val="solid"/>
            <w14:miter w14:val="0"/>
          </w14:textOutline>
        </w:rPr>
        <w:t>投标无效</w:t>
      </w:r>
      <w:r>
        <w:rPr>
          <w:rFonts w:ascii="宋体" w:hAnsi="宋体" w:eastAsia="宋体" w:cs="宋体"/>
          <w:spacing w:val="-1"/>
          <w:sz w:val="24"/>
          <w:szCs w:val="24"/>
        </w:rPr>
        <w:t>。</w:t>
      </w:r>
    </w:p>
    <w:p>
      <w:pPr>
        <w:pStyle w:val="53"/>
        <w:numPr>
          <w:ilvl w:val="1"/>
          <w:numId w:val="3"/>
        </w:numPr>
        <w:spacing w:line="400" w:lineRule="exact"/>
        <w:rPr>
          <w:rFonts w:cs="微软雅黑"/>
          <w:color w:val="auto"/>
          <w:sz w:val="24"/>
          <w:szCs w:val="24"/>
        </w:rPr>
      </w:pPr>
      <w:r>
        <w:rPr>
          <w:rFonts w:hint="eastAsia" w:cs="微软雅黑"/>
          <w:color w:val="auto"/>
          <w:sz w:val="24"/>
          <w:szCs w:val="24"/>
        </w:rPr>
        <w:t>在规定的解密截止时间内，如所有投标人均自行解密成功，则结束解密进入唱标环节；如有投标人未解密成功，则解密时间倒计时至截止时间后进入唱标环节。解密程序结束后，有效投标人数量符合法律规定的，将在系统内展示所有解密成功的投标人报价。</w:t>
      </w:r>
    </w:p>
    <w:p>
      <w:pPr>
        <w:pStyle w:val="53"/>
        <w:numPr>
          <w:ilvl w:val="1"/>
          <w:numId w:val="3"/>
        </w:numPr>
        <w:spacing w:line="400" w:lineRule="exact"/>
        <w:rPr>
          <w:rFonts w:cs="微软雅黑"/>
          <w:color w:val="auto"/>
          <w:sz w:val="24"/>
          <w:szCs w:val="24"/>
        </w:rPr>
      </w:pPr>
      <w:r>
        <w:rPr>
          <w:rFonts w:ascii="宋体" w:hAnsi="宋体" w:eastAsia="宋体" w:cs="宋体"/>
          <w:spacing w:val="2"/>
          <w:sz w:val="24"/>
          <w:szCs w:val="24"/>
        </w:rPr>
        <w:t>开标过程将使用电子交易平台宣布投标人名称、投标价格和招标文件</w:t>
      </w:r>
      <w:r>
        <w:rPr>
          <w:rFonts w:ascii="宋体" w:hAnsi="宋体" w:eastAsia="宋体" w:cs="宋体"/>
          <w:spacing w:val="1"/>
          <w:sz w:val="24"/>
          <w:szCs w:val="24"/>
        </w:rPr>
        <w:t>规定的</w:t>
      </w:r>
      <w:r>
        <w:rPr>
          <w:rFonts w:ascii="宋体" w:hAnsi="宋体" w:eastAsia="宋体" w:cs="宋体"/>
          <w:spacing w:val="2"/>
          <w:sz w:val="24"/>
          <w:szCs w:val="24"/>
        </w:rPr>
        <w:t>需要宣布的其他内容并进行记录，并由参加开</w:t>
      </w:r>
      <w:r>
        <w:rPr>
          <w:rFonts w:ascii="宋体" w:hAnsi="宋体" w:eastAsia="宋体" w:cs="宋体"/>
          <w:spacing w:val="1"/>
          <w:sz w:val="24"/>
          <w:szCs w:val="24"/>
        </w:rPr>
        <w:t>标的各投标人确认</w:t>
      </w:r>
      <w:r>
        <w:rPr>
          <w:rFonts w:hint="eastAsia"/>
          <w:color w:val="auto"/>
          <w:sz w:val="24"/>
          <w:lang w:eastAsia="zh-CN"/>
        </w:rPr>
        <w:t>。</w:t>
      </w:r>
      <w:r>
        <w:rPr>
          <w:rFonts w:ascii="宋体" w:hAnsi="宋体" w:eastAsia="宋体" w:cs="宋体"/>
          <w:spacing w:val="1"/>
          <w:sz w:val="24"/>
          <w:szCs w:val="24"/>
        </w:rPr>
        <w:t>投标人未</w:t>
      </w:r>
      <w:r>
        <w:rPr>
          <w:rFonts w:ascii="宋体" w:hAnsi="宋体" w:eastAsia="宋体" w:cs="宋体"/>
          <w:spacing w:val="3"/>
          <w:sz w:val="24"/>
          <w:szCs w:val="24"/>
        </w:rPr>
        <w:t>在规定时间内</w:t>
      </w:r>
      <w:r>
        <w:rPr>
          <w:rFonts w:hint="eastAsia" w:ascii="Leelawadee UI" w:hAnsi="Leelawadee UI" w:eastAsia="宋体" w:cs="Leelawadee UI"/>
          <w:spacing w:val="3"/>
          <w:sz w:val="24"/>
          <w:szCs w:val="24"/>
          <w:lang w:eastAsia="zh-CN"/>
        </w:rPr>
        <w:t>提出</w:t>
      </w:r>
      <w:r>
        <w:rPr>
          <w:rFonts w:hint="eastAsia" w:cs="宋体"/>
          <w:spacing w:val="3"/>
          <w:sz w:val="24"/>
          <w:szCs w:val="24"/>
          <w:lang w:eastAsia="zh-CN"/>
        </w:rPr>
        <w:t>异议</w:t>
      </w:r>
      <w:r>
        <w:rPr>
          <w:rFonts w:ascii="宋体" w:hAnsi="宋体" w:eastAsia="宋体" w:cs="宋体"/>
          <w:spacing w:val="3"/>
          <w:sz w:val="24"/>
          <w:szCs w:val="24"/>
        </w:rPr>
        <w:t>或确认一览表的，视同认可开标结果</w:t>
      </w:r>
      <w:r>
        <w:rPr>
          <w:rFonts w:hint="eastAsia" w:ascii="宋体" w:hAnsi="宋体" w:eastAsia="宋体" w:cs="宋体"/>
          <w:spacing w:val="3"/>
          <w:sz w:val="24"/>
          <w:szCs w:val="24"/>
          <w:lang w:eastAsia="zh-CN"/>
        </w:rPr>
        <w:t>。</w:t>
      </w:r>
    </w:p>
    <w:p>
      <w:pPr>
        <w:pStyle w:val="53"/>
        <w:numPr>
          <w:ilvl w:val="1"/>
          <w:numId w:val="3"/>
        </w:numPr>
        <w:spacing w:line="400" w:lineRule="exact"/>
        <w:rPr>
          <w:rFonts w:cs="微软雅黑"/>
          <w:color w:val="auto"/>
          <w:sz w:val="24"/>
          <w:szCs w:val="24"/>
        </w:rPr>
      </w:pPr>
      <w:r>
        <w:rPr>
          <w:rFonts w:hint="eastAsia" w:cs="微软雅黑"/>
          <w:color w:val="auto"/>
          <w:sz w:val="24"/>
          <w:szCs w:val="24"/>
        </w:rPr>
        <w:t>开标时，到规定的解密截止时间，如部分投标人未进行自行解密、未解密成功，或解密后投标报价为零、为空的，该投标人的电子投标文件作无效投标处理。</w:t>
      </w:r>
    </w:p>
    <w:p>
      <w:pPr>
        <w:pStyle w:val="53"/>
        <w:numPr>
          <w:ilvl w:val="1"/>
          <w:numId w:val="3"/>
        </w:numPr>
        <w:spacing w:line="400" w:lineRule="exact"/>
        <w:rPr>
          <w:rFonts w:cs="微软雅黑"/>
          <w:color w:val="auto"/>
          <w:sz w:val="24"/>
          <w:szCs w:val="24"/>
        </w:rPr>
      </w:pPr>
      <w:r>
        <w:rPr>
          <w:rFonts w:hint="eastAsia" w:cs="微软雅黑"/>
          <w:color w:val="auto"/>
          <w:sz w:val="24"/>
          <w:szCs w:val="24"/>
        </w:rPr>
        <w:t>开标时，到规定的解密截止时间，如所有投标人的电子投标文件均无法自行解密成功的，该项目将暂停开标，另行通知开标、解密时间。暂停开标期间，投标人无法修改或重新上传电子投标文件。</w:t>
      </w:r>
    </w:p>
    <w:p>
      <w:pPr>
        <w:pStyle w:val="53"/>
        <w:numPr>
          <w:ilvl w:val="1"/>
          <w:numId w:val="3"/>
        </w:numPr>
        <w:spacing w:line="400" w:lineRule="exact"/>
        <w:rPr>
          <w:rFonts w:cs="微软雅黑"/>
          <w:color w:val="auto"/>
          <w:sz w:val="24"/>
          <w:szCs w:val="24"/>
        </w:rPr>
      </w:pPr>
      <w:r>
        <w:rPr>
          <w:rFonts w:ascii="宋体" w:hAnsi="宋体" w:eastAsia="宋体" w:cs="宋体"/>
          <w:spacing w:val="-4"/>
          <w:sz w:val="24"/>
          <w:szCs w:val="24"/>
        </w:rPr>
        <w:t>投标人不足</w:t>
      </w:r>
      <w:r>
        <w:rPr>
          <w:rFonts w:ascii="宋体" w:hAnsi="宋体" w:eastAsia="宋体" w:cs="宋体"/>
          <w:spacing w:val="-28"/>
          <w:sz w:val="24"/>
          <w:szCs w:val="24"/>
        </w:rPr>
        <w:t xml:space="preserve"> </w:t>
      </w:r>
      <w:r>
        <w:rPr>
          <w:rFonts w:ascii="Arial" w:hAnsi="Arial" w:eastAsia="Arial" w:cs="Arial"/>
          <w:spacing w:val="-4"/>
          <w:sz w:val="24"/>
          <w:szCs w:val="24"/>
        </w:rPr>
        <w:t xml:space="preserve">3 </w:t>
      </w:r>
      <w:r>
        <w:rPr>
          <w:rFonts w:ascii="宋体" w:hAnsi="宋体" w:eastAsia="宋体" w:cs="宋体"/>
          <w:spacing w:val="-4"/>
          <w:sz w:val="24"/>
          <w:szCs w:val="24"/>
        </w:rPr>
        <w:t>家的，不予开标</w:t>
      </w:r>
      <w:r>
        <w:rPr>
          <w:rFonts w:hint="eastAsia" w:ascii="宋体" w:hAnsi="宋体" w:eastAsia="宋体" w:cs="宋体"/>
          <w:spacing w:val="-4"/>
          <w:sz w:val="24"/>
          <w:szCs w:val="24"/>
          <w:lang w:eastAsia="zh-CN"/>
        </w:rPr>
        <w:t>。</w:t>
      </w:r>
    </w:p>
    <w:p>
      <w:pPr>
        <w:pStyle w:val="4"/>
        <w:spacing w:before="0" w:after="120" w:line="400" w:lineRule="exact"/>
        <w:ind w:left="238"/>
        <w:rPr>
          <w:rFonts w:ascii="宋体" w:hAnsi="宋体" w:eastAsia="宋体" w:cs="微软雅黑"/>
          <w:bCs w:val="0"/>
          <w:color w:val="auto"/>
          <w:sz w:val="24"/>
          <w:szCs w:val="24"/>
        </w:rPr>
      </w:pPr>
      <w:bookmarkStart w:id="44" w:name="_Toc328815997"/>
      <w:r>
        <w:rPr>
          <w:rFonts w:hint="eastAsia" w:ascii="宋体" w:hAnsi="宋体" w:eastAsia="宋体" w:cs="微软雅黑"/>
          <w:bCs w:val="0"/>
          <w:color w:val="auto"/>
          <w:sz w:val="24"/>
          <w:szCs w:val="24"/>
        </w:rPr>
        <w:t>评标步骤和要求</w:t>
      </w:r>
      <w:bookmarkEnd w:id="44"/>
    </w:p>
    <w:p>
      <w:pPr>
        <w:pStyle w:val="53"/>
        <w:tabs>
          <w:tab w:val="clear" w:pos="709"/>
        </w:tabs>
        <w:spacing w:line="400" w:lineRule="exact"/>
        <w:rPr>
          <w:rFonts w:cs="微软雅黑"/>
          <w:color w:val="auto"/>
          <w:sz w:val="24"/>
          <w:szCs w:val="24"/>
        </w:rPr>
      </w:pPr>
      <w:r>
        <w:rPr>
          <w:rFonts w:hint="eastAsia" w:cs="微软雅黑"/>
          <w:color w:val="auto"/>
          <w:sz w:val="24"/>
          <w:szCs w:val="24"/>
        </w:rPr>
        <w:t>选取评审专家及组建评标委员会</w:t>
      </w:r>
    </w:p>
    <w:p>
      <w:pPr>
        <w:pStyle w:val="53"/>
        <w:numPr>
          <w:ilvl w:val="1"/>
          <w:numId w:val="3"/>
        </w:numPr>
        <w:spacing w:line="400" w:lineRule="exact"/>
        <w:rPr>
          <w:rFonts w:cs="微软雅黑"/>
          <w:color w:val="auto"/>
          <w:sz w:val="24"/>
          <w:szCs w:val="24"/>
        </w:rPr>
      </w:pPr>
      <w:r>
        <w:rPr>
          <w:rFonts w:hint="eastAsia" w:cs="微软雅黑"/>
          <w:color w:val="auto"/>
          <w:sz w:val="24"/>
          <w:szCs w:val="24"/>
        </w:rPr>
        <w:t>采购人根据有关法律法规、本招标文件的规定及项目特点选取评审专家。</w:t>
      </w:r>
    </w:p>
    <w:p>
      <w:pPr>
        <w:pStyle w:val="53"/>
        <w:numPr>
          <w:ilvl w:val="1"/>
          <w:numId w:val="3"/>
        </w:numPr>
        <w:spacing w:line="400" w:lineRule="exact"/>
        <w:rPr>
          <w:rFonts w:cs="微软雅黑"/>
          <w:color w:val="auto"/>
          <w:sz w:val="24"/>
          <w:szCs w:val="24"/>
        </w:rPr>
      </w:pPr>
      <w:r>
        <w:rPr>
          <w:rFonts w:hint="eastAsia" w:cs="微软雅黑"/>
          <w:color w:val="auto"/>
          <w:sz w:val="24"/>
          <w:szCs w:val="24"/>
        </w:rPr>
        <w:t>本项目根据有关法律法规、本招标文件的规定及项目特点组建评标委员会。</w:t>
      </w:r>
    </w:p>
    <w:p>
      <w:pPr>
        <w:pStyle w:val="53"/>
        <w:tabs>
          <w:tab w:val="clear" w:pos="709"/>
        </w:tabs>
        <w:snapToGrid w:val="0"/>
        <w:spacing w:line="400" w:lineRule="exact"/>
        <w:rPr>
          <w:rFonts w:cs="微软雅黑"/>
          <w:color w:val="auto"/>
          <w:sz w:val="24"/>
          <w:szCs w:val="24"/>
        </w:rPr>
      </w:pPr>
      <w:r>
        <w:rPr>
          <w:rFonts w:hint="eastAsia" w:cs="微软雅黑"/>
          <w:color w:val="auto"/>
          <w:sz w:val="24"/>
          <w:szCs w:val="24"/>
        </w:rPr>
        <w:t>评审</w:t>
      </w:r>
    </w:p>
    <w:p>
      <w:pPr>
        <w:pStyle w:val="53"/>
        <w:numPr>
          <w:ilvl w:val="1"/>
          <w:numId w:val="3"/>
        </w:numPr>
        <w:snapToGrid w:val="0"/>
        <w:spacing w:line="400" w:lineRule="exact"/>
        <w:rPr>
          <w:rFonts w:cs="微软雅黑"/>
          <w:color w:val="auto"/>
          <w:sz w:val="24"/>
          <w:szCs w:val="24"/>
        </w:rPr>
      </w:pPr>
      <w:r>
        <w:rPr>
          <w:rFonts w:hint="eastAsia"/>
          <w:color w:val="auto"/>
          <w:sz w:val="24"/>
          <w:szCs w:val="24"/>
        </w:rPr>
        <w:t>资格性审查和符合性审查。</w:t>
      </w:r>
      <w:r>
        <w:rPr>
          <w:rStyle w:val="55"/>
          <w:rFonts w:cs="宋体"/>
          <w:color w:val="auto"/>
          <w:sz w:val="24"/>
          <w:szCs w:val="24"/>
        </w:rPr>
        <w:t> </w:t>
      </w:r>
    </w:p>
    <w:p>
      <w:pPr>
        <w:numPr>
          <w:ilvl w:val="0"/>
          <w:numId w:val="9"/>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资格性审查。采购人依据法律法规和招标文件的规定，对资格证明文件进行资格性审查，以确定投标人是否具备投标资格。</w:t>
      </w:r>
      <w:r>
        <w:rPr>
          <w:rFonts w:ascii="宋体" w:hAnsi="宋体" w:cs="微软雅黑"/>
          <w:color w:val="auto"/>
          <w:sz w:val="24"/>
          <w:szCs w:val="24"/>
        </w:rPr>
        <w:t> </w:t>
      </w:r>
    </w:p>
    <w:p>
      <w:pPr>
        <w:numPr>
          <w:ilvl w:val="0"/>
          <w:numId w:val="9"/>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符合性审查。评标委员会依据法律法规和招标文件的规定，对技术文件进行符合性审查，以确定其是否满足招标文件的实质性要求。</w:t>
      </w:r>
    </w:p>
    <w:p>
      <w:pPr>
        <w:pStyle w:val="53"/>
        <w:numPr>
          <w:ilvl w:val="1"/>
          <w:numId w:val="3"/>
        </w:numPr>
        <w:snapToGrid w:val="0"/>
        <w:spacing w:line="400" w:lineRule="exact"/>
        <w:rPr>
          <w:rFonts w:cs="微软雅黑"/>
          <w:b/>
          <w:color w:val="auto"/>
          <w:sz w:val="24"/>
          <w:szCs w:val="24"/>
        </w:rPr>
      </w:pPr>
      <w:r>
        <w:rPr>
          <w:rFonts w:hint="eastAsia"/>
          <w:b/>
          <w:color w:val="auto"/>
          <w:sz w:val="24"/>
          <w:szCs w:val="24"/>
        </w:rPr>
        <w:t>采购人及评标委员会审查每份电子投标文件是否实质上响应了招标文件的要求。实质上没有响应招标文件要求的投标作无效投标处理。投标人不得通过修正或撤销不符之处而使其投标成为实质上响应的投标。如发现下列情况之一的，其投标将被拒绝或认定为无效投标：</w:t>
      </w:r>
    </w:p>
    <w:p>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不具备招标文件中规定的资格要求的；</w:t>
      </w:r>
    </w:p>
    <w:p>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未对招标文件中规定所有带</w:t>
      </w:r>
      <w:r>
        <w:rPr>
          <w:rFonts w:hint="eastAsia" w:ascii="宋体" w:hAnsi="宋体"/>
          <w:color w:val="auto"/>
          <w:sz w:val="24"/>
          <w:szCs w:val="24"/>
        </w:rPr>
        <w:t>★</w:t>
      </w:r>
      <w:r>
        <w:rPr>
          <w:rFonts w:hint="eastAsia" w:ascii="宋体" w:hAnsi="宋体" w:cs="微软雅黑"/>
          <w:color w:val="auto"/>
          <w:sz w:val="24"/>
          <w:szCs w:val="24"/>
        </w:rPr>
        <w:t>部分的条款作出实质性响应的，包括其中未按规定签字、盖章的；</w:t>
      </w:r>
    </w:p>
    <w:p>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属于招标文件中规定的作无效投标处理情形的；</w:t>
      </w:r>
    </w:p>
    <w:p>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投标报价超出采购预算的；</w:t>
      </w:r>
    </w:p>
    <w:p>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电子投标报价未按照招标文件规定的格式报价导致无法履行合同的；</w:t>
      </w:r>
    </w:p>
    <w:p>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不符合招标文件中有关分包、转包规定的；</w:t>
      </w:r>
    </w:p>
    <w:p>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不符合法律、法规和招标文件中规定的其他实质性要求的。</w:t>
      </w:r>
    </w:p>
    <w:p>
      <w:pPr>
        <w:pStyle w:val="53"/>
        <w:numPr>
          <w:ilvl w:val="1"/>
          <w:numId w:val="3"/>
        </w:numPr>
        <w:snapToGrid w:val="0"/>
        <w:spacing w:line="400" w:lineRule="exact"/>
        <w:rPr>
          <w:rFonts w:cs="微软雅黑"/>
          <w:color w:val="auto"/>
          <w:sz w:val="24"/>
          <w:szCs w:val="24"/>
        </w:rPr>
      </w:pPr>
      <w:r>
        <w:rPr>
          <w:rFonts w:hint="eastAsia"/>
          <w:color w:val="auto"/>
          <w:sz w:val="24"/>
          <w:szCs w:val="24"/>
        </w:rPr>
        <w:t>电子投标文件报价出现前后不一致的，按照下列规定修正：</w:t>
      </w:r>
    </w:p>
    <w:p>
      <w:pPr>
        <w:numPr>
          <w:ilvl w:val="0"/>
          <w:numId w:val="11"/>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开标时，在北京市政府采购电子交易平台上显示的投标报价内容与电子投标文件中相应内容不一致的,以开标时显示的投标报价内容为准；</w:t>
      </w:r>
    </w:p>
    <w:p>
      <w:pPr>
        <w:numPr>
          <w:ilvl w:val="0"/>
          <w:numId w:val="11"/>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大写金额和小写金额不一致的，以大写金额为准；</w:t>
      </w:r>
    </w:p>
    <w:p>
      <w:pPr>
        <w:numPr>
          <w:ilvl w:val="0"/>
          <w:numId w:val="11"/>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单价金额小数点或者百分比有明显错位的，以总价为准，并修改单价；</w:t>
      </w:r>
    </w:p>
    <w:p>
      <w:pPr>
        <w:numPr>
          <w:ilvl w:val="0"/>
          <w:numId w:val="11"/>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总价金额与按单价汇总金额不一致的，以单价金额计算结果为准。</w:t>
      </w:r>
    </w:p>
    <w:p>
      <w:pPr>
        <w:pStyle w:val="53"/>
        <w:numPr>
          <w:ilvl w:val="0"/>
          <w:numId w:val="0"/>
        </w:numPr>
        <w:snapToGrid w:val="0"/>
        <w:spacing w:line="400" w:lineRule="exact"/>
        <w:ind w:left="709"/>
        <w:rPr>
          <w:color w:val="auto"/>
          <w:sz w:val="24"/>
          <w:szCs w:val="24"/>
        </w:rPr>
      </w:pPr>
      <w:r>
        <w:rPr>
          <w:rFonts w:hint="eastAsia"/>
          <w:color w:val="auto"/>
          <w:sz w:val="24"/>
          <w:szCs w:val="24"/>
        </w:rPr>
        <w:t>同时出现两种以上不一致的，按照前款规定的顺序修正。</w:t>
      </w:r>
    </w:p>
    <w:p>
      <w:pPr>
        <w:pStyle w:val="53"/>
        <w:numPr>
          <w:ilvl w:val="0"/>
          <w:numId w:val="0"/>
        </w:numPr>
        <w:snapToGrid w:val="0"/>
        <w:spacing w:line="400" w:lineRule="exact"/>
        <w:ind w:left="709"/>
        <w:rPr>
          <w:rFonts w:cs="微软雅黑"/>
          <w:color w:val="auto"/>
          <w:sz w:val="24"/>
          <w:szCs w:val="24"/>
        </w:rPr>
      </w:pPr>
      <w:r>
        <w:rPr>
          <w:rFonts w:hint="eastAsia" w:cs="微软雅黑"/>
          <w:color w:val="auto"/>
          <w:sz w:val="24"/>
          <w:szCs w:val="24"/>
        </w:rPr>
        <w:t>修正后的报价按照本招标文件17.2条的规定经投标人确认后产生约束力，投标人不确认的，其投标无效。</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核心产品</w:t>
      </w:r>
    </w:p>
    <w:p>
      <w:pPr>
        <w:numPr>
          <w:ilvl w:val="0"/>
          <w:numId w:val="12"/>
        </w:numPr>
        <w:tabs>
          <w:tab w:val="left" w:pos="567"/>
          <w:tab w:val="clear" w:pos="1200"/>
        </w:tabs>
        <w:snapToGrid w:val="0"/>
        <w:spacing w:line="400" w:lineRule="exact"/>
        <w:ind w:left="567" w:hanging="87"/>
        <w:rPr>
          <w:rFonts w:ascii="宋体" w:hAnsi="宋体" w:cs="微软雅黑"/>
          <w:color w:val="auto"/>
          <w:sz w:val="24"/>
          <w:szCs w:val="24"/>
        </w:rPr>
      </w:pPr>
      <w:r>
        <w:rPr>
          <w:rFonts w:hint="eastAsia" w:ascii="宋体" w:hAnsi="宋体"/>
          <w:color w:val="auto"/>
          <w:sz w:val="24"/>
          <w:szCs w:val="24"/>
        </w:rPr>
        <w:t>使用综合评分法的采购项目，提供相同品牌产品且通过资格审查、符合性审查的不同投标人参加同一合同项下投标的，按一家投标人计算，评审后得分最高的同品牌投标人获得中标候选人推荐资格；评审得分相同的，由采购人委托评标委员会按照招标文件第19.2条规定的方式确定一个投标人获得中标候选人推荐资格，招标文件未规定的采取随机抽取方式确定，其他同品牌投标人不作为中标候选人。</w:t>
      </w:r>
    </w:p>
    <w:p>
      <w:pPr>
        <w:numPr>
          <w:ilvl w:val="0"/>
          <w:numId w:val="12"/>
        </w:numPr>
        <w:tabs>
          <w:tab w:val="left" w:pos="567"/>
          <w:tab w:val="clear" w:pos="1200"/>
        </w:tabs>
        <w:snapToGrid w:val="0"/>
        <w:spacing w:line="400" w:lineRule="exact"/>
        <w:ind w:left="567" w:hanging="87"/>
        <w:rPr>
          <w:rFonts w:ascii="宋体" w:hAnsi="宋体"/>
          <w:color w:val="auto"/>
          <w:sz w:val="24"/>
          <w:szCs w:val="24"/>
        </w:rPr>
      </w:pPr>
      <w:r>
        <w:rPr>
          <w:rFonts w:hint="eastAsia" w:ascii="宋体" w:hAnsi="宋体"/>
          <w:color w:val="auto"/>
          <w:sz w:val="24"/>
          <w:szCs w:val="24"/>
        </w:rPr>
        <w:t>非单一产品采购项目，核心产品已在招标文件中载明。多家投标人提供的核心产品品牌相同的，按16.4第（1）款规定处理。</w:t>
      </w:r>
    </w:p>
    <w:p>
      <w:pPr>
        <w:numPr>
          <w:ilvl w:val="0"/>
          <w:numId w:val="12"/>
        </w:numPr>
        <w:tabs>
          <w:tab w:val="left" w:pos="567"/>
          <w:tab w:val="clear" w:pos="1200"/>
        </w:tabs>
        <w:snapToGrid w:val="0"/>
        <w:spacing w:line="400" w:lineRule="exact"/>
        <w:ind w:left="567" w:hanging="87"/>
        <w:rPr>
          <w:rFonts w:ascii="宋体" w:hAnsi="宋体" w:cs="微软雅黑"/>
          <w:color w:val="auto"/>
          <w:sz w:val="24"/>
          <w:szCs w:val="24"/>
        </w:rPr>
      </w:pPr>
      <w:r>
        <w:rPr>
          <w:rFonts w:hint="eastAsia" w:ascii="宋体" w:hAnsi="宋体"/>
          <w:color w:val="auto"/>
          <w:sz w:val="24"/>
          <w:szCs w:val="24"/>
        </w:rPr>
        <w:t>如按16.4条第（1）款要求计算投标人数量后不足三家的，属于</w:t>
      </w:r>
      <w:r>
        <w:rPr>
          <w:rFonts w:hint="eastAsia" w:ascii="宋体" w:hAnsi="宋体" w:cs="微软雅黑"/>
          <w:color w:val="auto"/>
          <w:sz w:val="24"/>
          <w:szCs w:val="24"/>
        </w:rPr>
        <w:t>对招标文件作实质响应的供应商不足三家，按本部分第22条第（1）款处理。</w:t>
      </w:r>
    </w:p>
    <w:p>
      <w:pPr>
        <w:pStyle w:val="53"/>
        <w:tabs>
          <w:tab w:val="clear" w:pos="709"/>
        </w:tabs>
        <w:spacing w:line="400" w:lineRule="exact"/>
        <w:rPr>
          <w:rFonts w:cs="微软雅黑"/>
          <w:color w:val="auto"/>
          <w:sz w:val="24"/>
          <w:szCs w:val="24"/>
        </w:rPr>
      </w:pPr>
      <w:r>
        <w:rPr>
          <w:rFonts w:hint="eastAsia" w:cs="微软雅黑"/>
          <w:color w:val="auto"/>
          <w:sz w:val="24"/>
          <w:szCs w:val="24"/>
        </w:rPr>
        <w:t>电子投标文件的澄清</w:t>
      </w:r>
    </w:p>
    <w:p>
      <w:pPr>
        <w:pStyle w:val="53"/>
        <w:numPr>
          <w:ilvl w:val="1"/>
          <w:numId w:val="3"/>
        </w:numPr>
        <w:spacing w:line="400" w:lineRule="exact"/>
        <w:rPr>
          <w:rFonts w:cs="微软雅黑"/>
          <w:color w:val="auto"/>
          <w:sz w:val="24"/>
          <w:szCs w:val="24"/>
        </w:rPr>
      </w:pPr>
      <w:r>
        <w:rPr>
          <w:rFonts w:hint="eastAsia" w:cs="微软雅黑"/>
          <w:color w:val="auto"/>
          <w:sz w:val="24"/>
          <w:szCs w:val="24"/>
        </w:rPr>
        <w:t>评标委员会有权要求投标人对电子投标文件中含义不明确、对同类问题表述不一致或者有明显文字和计算错误等内容作必要的澄清、说明或者补正。</w:t>
      </w:r>
    </w:p>
    <w:p>
      <w:pPr>
        <w:pStyle w:val="53"/>
        <w:numPr>
          <w:ilvl w:val="1"/>
          <w:numId w:val="3"/>
        </w:numPr>
        <w:spacing w:line="400" w:lineRule="exact"/>
        <w:rPr>
          <w:rFonts w:cs="微软雅黑"/>
          <w:color w:val="auto"/>
          <w:sz w:val="24"/>
          <w:szCs w:val="24"/>
        </w:rPr>
      </w:pPr>
      <w:r>
        <w:rPr>
          <w:rFonts w:hint="eastAsia" w:cs="微软雅黑"/>
          <w:color w:val="auto"/>
          <w:sz w:val="24"/>
          <w:szCs w:val="24"/>
        </w:rPr>
        <w:t>投标人的澄清应在评标委员会规定的时间内以书面方式进行，并作为电子投标文件内容的一部分，由其法定代表人或其授权代表签字。澄清、说明或者补正不得超出电子投标文件的范围或者改变电子投标文件的实质性内容。投标人拒不按照要求对电子投标文件进行澄清、说明或者补正的，评标委员会有权将该投标作无效投标处理。</w:t>
      </w:r>
    </w:p>
    <w:p>
      <w:pPr>
        <w:pStyle w:val="53"/>
        <w:tabs>
          <w:tab w:val="clear" w:pos="709"/>
        </w:tabs>
        <w:spacing w:line="400" w:lineRule="exact"/>
        <w:rPr>
          <w:rFonts w:cs="微软雅黑"/>
          <w:color w:val="auto"/>
          <w:sz w:val="24"/>
          <w:szCs w:val="24"/>
        </w:rPr>
      </w:pPr>
      <w:r>
        <w:rPr>
          <w:rFonts w:hint="eastAsia" w:cs="微软雅黑"/>
          <w:color w:val="auto"/>
          <w:sz w:val="24"/>
          <w:szCs w:val="24"/>
        </w:rPr>
        <w:t>对电子投标文件的详细评审</w:t>
      </w:r>
    </w:p>
    <w:p>
      <w:pPr>
        <w:pStyle w:val="53"/>
        <w:numPr>
          <w:ilvl w:val="1"/>
          <w:numId w:val="3"/>
        </w:numPr>
        <w:spacing w:line="400" w:lineRule="exact"/>
        <w:ind w:left="718" w:hanging="820" w:hangingChars="342"/>
        <w:rPr>
          <w:rFonts w:cs="微软雅黑"/>
          <w:color w:val="auto"/>
          <w:sz w:val="24"/>
          <w:szCs w:val="24"/>
        </w:rPr>
      </w:pPr>
      <w:r>
        <w:rPr>
          <w:rFonts w:hint="eastAsia" w:cs="微软雅黑"/>
          <w:color w:val="auto"/>
          <w:sz w:val="24"/>
          <w:szCs w:val="24"/>
        </w:rPr>
        <w:t>评标委员会对通过资格性和符合性审查的电子投标文件按照</w:t>
      </w:r>
      <w:r>
        <w:rPr>
          <w:rFonts w:hint="eastAsia" w:cs="微软雅黑"/>
          <w:color w:val="auto"/>
          <w:sz w:val="24"/>
          <w:szCs w:val="24"/>
          <w:u w:val="single"/>
        </w:rPr>
        <w:t>第五部分 评标标准和评标方法</w:t>
      </w:r>
      <w:r>
        <w:rPr>
          <w:rFonts w:hint="eastAsia" w:cs="微软雅黑"/>
          <w:color w:val="auto"/>
          <w:sz w:val="24"/>
          <w:szCs w:val="24"/>
        </w:rPr>
        <w:t>进行综合评审。</w:t>
      </w:r>
    </w:p>
    <w:p>
      <w:pPr>
        <w:pStyle w:val="53"/>
        <w:tabs>
          <w:tab w:val="clear" w:pos="709"/>
        </w:tabs>
        <w:spacing w:line="400" w:lineRule="exact"/>
        <w:rPr>
          <w:rFonts w:cs="微软雅黑"/>
          <w:color w:val="auto"/>
          <w:sz w:val="24"/>
          <w:szCs w:val="24"/>
        </w:rPr>
      </w:pPr>
      <w:r>
        <w:rPr>
          <w:rFonts w:hint="eastAsia" w:cs="微软雅黑"/>
          <w:color w:val="auto"/>
          <w:sz w:val="24"/>
          <w:szCs w:val="24"/>
        </w:rPr>
        <w:t>推荐中标候选人及确定中标人</w:t>
      </w:r>
    </w:p>
    <w:p>
      <w:pPr>
        <w:pStyle w:val="53"/>
        <w:numPr>
          <w:ilvl w:val="1"/>
          <w:numId w:val="3"/>
        </w:numPr>
        <w:spacing w:line="400" w:lineRule="exact"/>
        <w:rPr>
          <w:rFonts w:cs="微软雅黑"/>
          <w:color w:val="auto"/>
          <w:sz w:val="24"/>
          <w:szCs w:val="24"/>
        </w:rPr>
      </w:pPr>
      <w:r>
        <w:rPr>
          <w:rFonts w:hint="eastAsia" w:cs="微软雅黑"/>
          <w:color w:val="auto"/>
          <w:sz w:val="24"/>
          <w:szCs w:val="24"/>
        </w:rPr>
        <w:t>评标委员会根据评标标准进行综合打分及汇总，并按汇总得分由高到低排序（精确到小数点后两位），按顺序推荐中标候选人并出具评审报告。</w:t>
      </w:r>
    </w:p>
    <w:p>
      <w:pPr>
        <w:pStyle w:val="53"/>
        <w:numPr>
          <w:ilvl w:val="1"/>
          <w:numId w:val="3"/>
        </w:numPr>
        <w:spacing w:line="400" w:lineRule="exact"/>
        <w:rPr>
          <w:rFonts w:cs="微软雅黑"/>
          <w:color w:val="auto"/>
          <w:sz w:val="24"/>
          <w:szCs w:val="24"/>
        </w:rPr>
      </w:pPr>
      <w:r>
        <w:rPr>
          <w:rFonts w:hint="eastAsia" w:cs="微软雅黑"/>
          <w:color w:val="auto"/>
          <w:sz w:val="24"/>
          <w:szCs w:val="24"/>
        </w:rPr>
        <w:t>投标人评分汇总得分相同的，按投标报价由低向高顺序排列。总得分且投标报价相同的，按技术指标优劣顺序排列。</w:t>
      </w:r>
    </w:p>
    <w:p>
      <w:pPr>
        <w:pStyle w:val="53"/>
        <w:numPr>
          <w:ilvl w:val="1"/>
          <w:numId w:val="3"/>
        </w:numPr>
        <w:spacing w:line="400" w:lineRule="exact"/>
        <w:rPr>
          <w:rFonts w:cs="微软雅黑"/>
          <w:color w:val="auto"/>
          <w:sz w:val="24"/>
          <w:szCs w:val="24"/>
        </w:rPr>
      </w:pPr>
      <w:r>
        <w:rPr>
          <w:rFonts w:hint="eastAsia" w:cs="微软雅黑"/>
          <w:color w:val="auto"/>
          <w:sz w:val="24"/>
          <w:szCs w:val="24"/>
        </w:rPr>
        <w:t>采购人在评审报告推荐的中标候选人中按顺序确定中标人。</w:t>
      </w:r>
    </w:p>
    <w:p>
      <w:pPr>
        <w:pStyle w:val="53"/>
        <w:tabs>
          <w:tab w:val="clear" w:pos="709"/>
        </w:tabs>
        <w:spacing w:line="400" w:lineRule="exact"/>
        <w:rPr>
          <w:rFonts w:cs="微软雅黑"/>
          <w:color w:val="auto"/>
          <w:sz w:val="24"/>
          <w:szCs w:val="24"/>
        </w:rPr>
      </w:pPr>
      <w:r>
        <w:rPr>
          <w:rFonts w:hint="eastAsia" w:cs="微软雅黑"/>
          <w:color w:val="auto"/>
          <w:sz w:val="24"/>
          <w:szCs w:val="24"/>
        </w:rPr>
        <w:t>评标过程要求</w:t>
      </w:r>
    </w:p>
    <w:p>
      <w:pPr>
        <w:pStyle w:val="53"/>
        <w:numPr>
          <w:ilvl w:val="1"/>
          <w:numId w:val="3"/>
        </w:numPr>
        <w:spacing w:line="400" w:lineRule="exact"/>
        <w:rPr>
          <w:rFonts w:cs="微软雅黑"/>
          <w:color w:val="auto"/>
          <w:sz w:val="24"/>
          <w:szCs w:val="24"/>
        </w:rPr>
      </w:pPr>
      <w:r>
        <w:rPr>
          <w:rFonts w:hint="eastAsia" w:cs="微软雅黑"/>
          <w:color w:val="auto"/>
          <w:sz w:val="24"/>
          <w:szCs w:val="24"/>
        </w:rPr>
        <w:t>在评标期间，投标人企图影响采购中心或评标委员会公正性的任何活动，将导致投标无效，并由其承担相应的法律责任。</w:t>
      </w:r>
    </w:p>
    <w:p>
      <w:pPr>
        <w:pStyle w:val="53"/>
        <w:tabs>
          <w:tab w:val="clear" w:pos="709"/>
        </w:tabs>
        <w:spacing w:line="400" w:lineRule="exact"/>
        <w:rPr>
          <w:rFonts w:cs="微软雅黑"/>
          <w:color w:val="auto"/>
          <w:sz w:val="24"/>
          <w:szCs w:val="24"/>
        </w:rPr>
      </w:pPr>
      <w:r>
        <w:rPr>
          <w:rFonts w:cs="微软雅黑"/>
          <w:color w:val="auto"/>
          <w:sz w:val="24"/>
          <w:szCs w:val="24"/>
        </w:rPr>
        <w:t>有下列情形之一的，视为投标人串通投标，其投标无效：</w:t>
      </w:r>
    </w:p>
    <w:p>
      <w:pPr>
        <w:numPr>
          <w:ilvl w:val="0"/>
          <w:numId w:val="13"/>
        </w:numPr>
        <w:snapToGrid w:val="0"/>
        <w:spacing w:line="400" w:lineRule="exact"/>
        <w:rPr>
          <w:rFonts w:ascii="宋体" w:hAnsi="宋体" w:cs="微软雅黑"/>
          <w:color w:val="auto"/>
          <w:sz w:val="24"/>
          <w:szCs w:val="24"/>
        </w:rPr>
      </w:pPr>
      <w:r>
        <w:rPr>
          <w:rFonts w:ascii="宋体" w:hAnsi="宋体" w:cs="微软雅黑"/>
          <w:color w:val="auto"/>
          <w:sz w:val="24"/>
          <w:szCs w:val="24"/>
        </w:rPr>
        <w:t>不同投标人的</w:t>
      </w:r>
      <w:r>
        <w:rPr>
          <w:rFonts w:hint="eastAsia" w:ascii="宋体" w:hAnsi="宋体" w:cs="微软雅黑"/>
          <w:color w:val="auto"/>
          <w:sz w:val="24"/>
          <w:szCs w:val="24"/>
        </w:rPr>
        <w:t>电子</w:t>
      </w:r>
      <w:r>
        <w:rPr>
          <w:rFonts w:ascii="宋体" w:hAnsi="宋体" w:cs="微软雅黑"/>
          <w:color w:val="auto"/>
          <w:sz w:val="24"/>
          <w:szCs w:val="24"/>
        </w:rPr>
        <w:t>投标文件由同一单位或者个人编制；</w:t>
      </w:r>
    </w:p>
    <w:p>
      <w:pPr>
        <w:numPr>
          <w:ilvl w:val="0"/>
          <w:numId w:val="13"/>
        </w:numPr>
        <w:snapToGrid w:val="0"/>
        <w:spacing w:line="400" w:lineRule="exact"/>
        <w:rPr>
          <w:rFonts w:ascii="宋体" w:hAnsi="宋体" w:cs="微软雅黑"/>
          <w:color w:val="auto"/>
          <w:sz w:val="24"/>
          <w:szCs w:val="24"/>
        </w:rPr>
      </w:pPr>
      <w:r>
        <w:rPr>
          <w:rFonts w:ascii="宋体" w:hAnsi="宋体" w:cs="微软雅黑"/>
          <w:color w:val="auto"/>
          <w:sz w:val="24"/>
          <w:szCs w:val="24"/>
        </w:rPr>
        <w:t>不同投标人委托同一单位或者个人办理投标事宜；</w:t>
      </w:r>
    </w:p>
    <w:p>
      <w:pPr>
        <w:numPr>
          <w:ilvl w:val="0"/>
          <w:numId w:val="13"/>
        </w:numPr>
        <w:snapToGrid w:val="0"/>
        <w:spacing w:line="400" w:lineRule="exact"/>
        <w:rPr>
          <w:rFonts w:ascii="宋体" w:hAnsi="宋体" w:cs="微软雅黑"/>
          <w:color w:val="auto"/>
          <w:sz w:val="24"/>
          <w:szCs w:val="24"/>
        </w:rPr>
      </w:pPr>
      <w:r>
        <w:rPr>
          <w:rFonts w:ascii="宋体" w:hAnsi="宋体" w:cs="微软雅黑"/>
          <w:color w:val="auto"/>
          <w:sz w:val="24"/>
          <w:szCs w:val="24"/>
        </w:rPr>
        <w:t>不同投标人的</w:t>
      </w:r>
      <w:r>
        <w:rPr>
          <w:rFonts w:hint="eastAsia" w:ascii="宋体" w:hAnsi="宋体" w:cs="微软雅黑"/>
          <w:color w:val="auto"/>
          <w:sz w:val="24"/>
          <w:szCs w:val="24"/>
        </w:rPr>
        <w:t>电子</w:t>
      </w:r>
      <w:r>
        <w:rPr>
          <w:rFonts w:ascii="宋体" w:hAnsi="宋体" w:cs="微软雅黑"/>
          <w:color w:val="auto"/>
          <w:sz w:val="24"/>
          <w:szCs w:val="24"/>
        </w:rPr>
        <w:t>投标文件载明的项目管理成员或者联系人员为同一人；</w:t>
      </w:r>
    </w:p>
    <w:p>
      <w:pPr>
        <w:numPr>
          <w:ilvl w:val="0"/>
          <w:numId w:val="13"/>
        </w:numPr>
        <w:snapToGrid w:val="0"/>
        <w:spacing w:line="400" w:lineRule="exact"/>
        <w:rPr>
          <w:rFonts w:ascii="宋体" w:hAnsi="宋体" w:cs="微软雅黑"/>
          <w:color w:val="auto"/>
          <w:sz w:val="24"/>
          <w:szCs w:val="24"/>
        </w:rPr>
      </w:pPr>
      <w:r>
        <w:rPr>
          <w:rFonts w:ascii="宋体" w:hAnsi="宋体" w:cs="微软雅黑"/>
          <w:color w:val="auto"/>
          <w:sz w:val="24"/>
          <w:szCs w:val="24"/>
        </w:rPr>
        <w:t>不同投标人的</w:t>
      </w:r>
      <w:r>
        <w:rPr>
          <w:rFonts w:hint="eastAsia" w:ascii="宋体" w:hAnsi="宋体" w:cs="微软雅黑"/>
          <w:color w:val="auto"/>
          <w:sz w:val="24"/>
          <w:szCs w:val="24"/>
        </w:rPr>
        <w:t>电子</w:t>
      </w:r>
      <w:r>
        <w:rPr>
          <w:rFonts w:ascii="宋体" w:hAnsi="宋体" w:cs="微软雅黑"/>
          <w:color w:val="auto"/>
          <w:sz w:val="24"/>
          <w:szCs w:val="24"/>
        </w:rPr>
        <w:t>投标文件异常一致或者投标报价呈规律性差异；</w:t>
      </w:r>
    </w:p>
    <w:p>
      <w:pPr>
        <w:numPr>
          <w:ilvl w:val="0"/>
          <w:numId w:val="13"/>
        </w:numPr>
        <w:snapToGrid w:val="0"/>
        <w:spacing w:line="400" w:lineRule="exact"/>
        <w:rPr>
          <w:rFonts w:ascii="宋体" w:hAnsi="宋体" w:cs="微软雅黑"/>
          <w:color w:val="auto"/>
          <w:sz w:val="24"/>
          <w:szCs w:val="24"/>
        </w:rPr>
      </w:pPr>
      <w:r>
        <w:rPr>
          <w:rFonts w:ascii="宋体" w:hAnsi="宋体" w:cs="微软雅黑"/>
          <w:color w:val="auto"/>
          <w:sz w:val="24"/>
          <w:szCs w:val="24"/>
        </w:rPr>
        <w:t>不同投标人的</w:t>
      </w:r>
      <w:r>
        <w:rPr>
          <w:rFonts w:hint="eastAsia" w:ascii="宋体" w:hAnsi="宋体" w:cs="微软雅黑"/>
          <w:color w:val="auto"/>
          <w:sz w:val="24"/>
          <w:szCs w:val="24"/>
        </w:rPr>
        <w:t>电子</w:t>
      </w:r>
      <w:r>
        <w:rPr>
          <w:rFonts w:ascii="宋体" w:hAnsi="宋体" w:cs="微软雅黑"/>
          <w:color w:val="auto"/>
          <w:sz w:val="24"/>
          <w:szCs w:val="24"/>
        </w:rPr>
        <w:t>投标文件相互混装</w:t>
      </w:r>
      <w:r>
        <w:rPr>
          <w:rFonts w:hint="eastAsia" w:ascii="宋体" w:hAnsi="宋体" w:cs="微软雅黑"/>
          <w:color w:val="auto"/>
          <w:sz w:val="24"/>
          <w:szCs w:val="24"/>
        </w:rPr>
        <w:t>。</w:t>
      </w:r>
    </w:p>
    <w:p>
      <w:pPr>
        <w:pStyle w:val="53"/>
        <w:tabs>
          <w:tab w:val="clear" w:pos="709"/>
        </w:tabs>
        <w:spacing w:line="400" w:lineRule="exact"/>
        <w:rPr>
          <w:rFonts w:cs="微软雅黑"/>
          <w:color w:val="auto"/>
          <w:sz w:val="24"/>
          <w:szCs w:val="24"/>
        </w:rPr>
      </w:pPr>
      <w:r>
        <w:rPr>
          <w:rFonts w:hint="eastAsia" w:cs="微软雅黑"/>
          <w:color w:val="auto"/>
          <w:sz w:val="24"/>
          <w:szCs w:val="24"/>
        </w:rPr>
        <w:t>在招标采购中，出现下列情形之一的，应予废标：</w:t>
      </w:r>
    </w:p>
    <w:p>
      <w:pPr>
        <w:numPr>
          <w:ilvl w:val="0"/>
          <w:numId w:val="14"/>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符合专业条件的供应商或者对招标文件作实质响应的供应商不足三家的；</w:t>
      </w:r>
    </w:p>
    <w:p>
      <w:pPr>
        <w:numPr>
          <w:ilvl w:val="0"/>
          <w:numId w:val="14"/>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出现影响采购公正的违法、违规行为的；</w:t>
      </w:r>
    </w:p>
    <w:p>
      <w:pPr>
        <w:numPr>
          <w:ilvl w:val="0"/>
          <w:numId w:val="14"/>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投标人的报价均超过了采购预算，采购人不能支付的；</w:t>
      </w:r>
    </w:p>
    <w:p>
      <w:pPr>
        <w:numPr>
          <w:ilvl w:val="0"/>
          <w:numId w:val="14"/>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因重大变故，采购任务取消的。</w:t>
      </w:r>
    </w:p>
    <w:p>
      <w:pPr>
        <w:pStyle w:val="4"/>
        <w:spacing w:before="0" w:after="120" w:line="400" w:lineRule="exact"/>
        <w:ind w:left="238"/>
        <w:rPr>
          <w:rFonts w:ascii="宋体" w:hAnsi="宋体" w:eastAsia="宋体" w:cs="微软雅黑"/>
          <w:bCs w:val="0"/>
          <w:color w:val="auto"/>
          <w:sz w:val="24"/>
          <w:szCs w:val="24"/>
        </w:rPr>
      </w:pPr>
      <w:bookmarkStart w:id="45" w:name="_Toc328815998"/>
      <w:r>
        <w:rPr>
          <w:rFonts w:hint="eastAsia" w:ascii="宋体" w:hAnsi="宋体" w:eastAsia="宋体" w:cs="微软雅黑"/>
          <w:bCs w:val="0"/>
          <w:color w:val="auto"/>
          <w:sz w:val="24"/>
          <w:szCs w:val="24"/>
        </w:rPr>
        <w:t>中标、未中标通知</w:t>
      </w:r>
      <w:bookmarkEnd w:id="45"/>
    </w:p>
    <w:p>
      <w:pPr>
        <w:pStyle w:val="53"/>
        <w:tabs>
          <w:tab w:val="clear" w:pos="709"/>
        </w:tabs>
        <w:snapToGrid w:val="0"/>
        <w:spacing w:line="400" w:lineRule="exact"/>
        <w:rPr>
          <w:rFonts w:cs="微软雅黑"/>
          <w:color w:val="auto"/>
          <w:sz w:val="24"/>
          <w:szCs w:val="24"/>
        </w:rPr>
      </w:pPr>
      <w:r>
        <w:rPr>
          <w:rFonts w:hint="eastAsia" w:cs="微软雅黑"/>
          <w:color w:val="auto"/>
          <w:sz w:val="24"/>
          <w:szCs w:val="24"/>
        </w:rPr>
        <w:t>中标通知</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采购人确定中标人后,采购中心将在指定媒体上发布中标公告，同时以书面形式向中标人发出中标通知书。</w:t>
      </w:r>
    </w:p>
    <w:p>
      <w:pPr>
        <w:pStyle w:val="53"/>
        <w:numPr>
          <w:ilvl w:val="1"/>
          <w:numId w:val="3"/>
        </w:numPr>
        <w:snapToGrid w:val="0"/>
        <w:spacing w:line="400" w:lineRule="exact"/>
        <w:rPr>
          <w:rFonts w:cs="微软雅黑"/>
          <w:color w:val="auto"/>
          <w:sz w:val="24"/>
          <w:szCs w:val="24"/>
        </w:rPr>
      </w:pPr>
      <w:r>
        <w:rPr>
          <w:rFonts w:hint="eastAsia" w:cs="微软雅黑"/>
          <w:color w:val="auto"/>
          <w:sz w:val="24"/>
          <w:szCs w:val="24"/>
        </w:rPr>
        <w:t>中标通知书是合同的组成部分。</w:t>
      </w:r>
    </w:p>
    <w:p>
      <w:pPr>
        <w:pStyle w:val="53"/>
        <w:numPr>
          <w:ilvl w:val="0"/>
          <w:numId w:val="0"/>
        </w:numPr>
        <w:snapToGrid w:val="0"/>
        <w:spacing w:line="400" w:lineRule="exact"/>
        <w:ind w:left="709"/>
        <w:rPr>
          <w:rFonts w:cs="微软雅黑"/>
          <w:color w:val="auto"/>
          <w:sz w:val="24"/>
          <w:szCs w:val="24"/>
        </w:rPr>
      </w:pPr>
    </w:p>
    <w:p>
      <w:pPr>
        <w:pStyle w:val="53"/>
        <w:tabs>
          <w:tab w:val="clear" w:pos="709"/>
        </w:tabs>
        <w:snapToGrid w:val="0"/>
        <w:spacing w:line="400" w:lineRule="exact"/>
        <w:rPr>
          <w:rFonts w:cs="微软雅黑"/>
          <w:color w:val="auto"/>
          <w:sz w:val="24"/>
          <w:szCs w:val="24"/>
        </w:rPr>
      </w:pPr>
      <w:r>
        <w:rPr>
          <w:rFonts w:hint="eastAsia" w:cs="微软雅黑"/>
          <w:color w:val="auto"/>
          <w:sz w:val="24"/>
          <w:szCs w:val="24"/>
        </w:rPr>
        <w:t>未中标通知</w:t>
      </w:r>
    </w:p>
    <w:p>
      <w:pPr>
        <w:numPr>
          <w:ilvl w:val="1"/>
          <w:numId w:val="3"/>
        </w:numPr>
        <w:spacing w:line="400" w:lineRule="exact"/>
        <w:rPr>
          <w:rFonts w:ascii="宋体" w:hAnsi="宋体" w:cs="微软雅黑"/>
          <w:color w:val="auto"/>
          <w:sz w:val="24"/>
          <w:szCs w:val="24"/>
        </w:rPr>
      </w:pPr>
      <w:r>
        <w:rPr>
          <w:rFonts w:hint="eastAsia" w:ascii="宋体" w:hAnsi="宋体" w:cs="微软雅黑"/>
          <w:color w:val="auto"/>
          <w:sz w:val="24"/>
          <w:szCs w:val="24"/>
        </w:rPr>
        <w:t>中标公告发布后，未中标供应商可致电采购中心咨询本单位未通过资格性和符合性审查原因、评审汇总得分及排序等相关信息。</w:t>
      </w:r>
    </w:p>
    <w:p>
      <w:pPr>
        <w:spacing w:line="400" w:lineRule="exact"/>
        <w:ind w:left="720" w:hanging="720"/>
        <w:rPr>
          <w:rFonts w:ascii="宋体" w:hAnsi="宋体" w:cs="微软雅黑"/>
          <w:color w:val="auto"/>
          <w:sz w:val="21"/>
          <w:szCs w:val="21"/>
        </w:rPr>
      </w:pPr>
    </w:p>
    <w:p>
      <w:pPr>
        <w:pStyle w:val="4"/>
        <w:spacing w:before="0" w:after="120" w:line="400" w:lineRule="exact"/>
        <w:ind w:left="238"/>
        <w:rPr>
          <w:rFonts w:ascii="宋体" w:hAnsi="宋体" w:eastAsia="宋体" w:cs="微软雅黑"/>
          <w:bCs w:val="0"/>
          <w:color w:val="auto"/>
          <w:sz w:val="24"/>
          <w:szCs w:val="24"/>
        </w:rPr>
      </w:pPr>
      <w:r>
        <w:rPr>
          <w:rFonts w:hint="eastAsia" w:ascii="宋体" w:hAnsi="宋体" w:eastAsia="宋体" w:cs="微软雅黑"/>
          <w:bCs w:val="0"/>
          <w:color w:val="auto"/>
          <w:sz w:val="24"/>
          <w:szCs w:val="24"/>
        </w:rPr>
        <w:t>签订合同</w:t>
      </w:r>
    </w:p>
    <w:p>
      <w:pPr>
        <w:pStyle w:val="53"/>
        <w:tabs>
          <w:tab w:val="clear" w:pos="709"/>
        </w:tabs>
        <w:spacing w:line="400" w:lineRule="exact"/>
        <w:rPr>
          <w:rFonts w:cs="微软雅黑"/>
          <w:color w:val="auto"/>
          <w:sz w:val="24"/>
          <w:szCs w:val="24"/>
        </w:rPr>
      </w:pPr>
      <w:r>
        <w:rPr>
          <w:rFonts w:hint="eastAsia" w:cs="微软雅黑"/>
          <w:color w:val="auto"/>
          <w:sz w:val="24"/>
          <w:szCs w:val="24"/>
        </w:rPr>
        <w:t>签订合同</w:t>
      </w:r>
    </w:p>
    <w:p>
      <w:pPr>
        <w:pStyle w:val="53"/>
        <w:numPr>
          <w:ilvl w:val="1"/>
          <w:numId w:val="3"/>
        </w:numPr>
        <w:spacing w:line="400" w:lineRule="exact"/>
        <w:rPr>
          <w:rFonts w:cs="微软雅黑"/>
          <w:color w:val="auto"/>
          <w:sz w:val="24"/>
          <w:szCs w:val="24"/>
        </w:rPr>
      </w:pPr>
      <w:r>
        <w:rPr>
          <w:rFonts w:hint="eastAsia" w:cs="微软雅黑"/>
          <w:color w:val="auto"/>
          <w:sz w:val="24"/>
          <w:szCs w:val="24"/>
        </w:rPr>
        <w:t>中标人应在政府采购相关法律法规规定的时间内与采购人签订中标合同。所签订的合同不得对招标文件确定的事项和中标人投标文件作实质性修改。采购人不得向中标人提出任何不合理的要求作为签订合同的条件。</w:t>
      </w:r>
    </w:p>
    <w:p>
      <w:pPr>
        <w:pStyle w:val="53"/>
        <w:numPr>
          <w:ilvl w:val="1"/>
          <w:numId w:val="3"/>
        </w:numPr>
        <w:spacing w:line="400" w:lineRule="exact"/>
        <w:rPr>
          <w:rFonts w:cs="微软雅黑"/>
          <w:color w:val="auto"/>
          <w:sz w:val="24"/>
          <w:szCs w:val="24"/>
        </w:rPr>
      </w:pPr>
      <w:r>
        <w:rPr>
          <w:rFonts w:hint="eastAsia" w:cs="微软雅黑"/>
          <w:color w:val="auto"/>
          <w:sz w:val="24"/>
          <w:szCs w:val="24"/>
        </w:rPr>
        <w:t>评标过程中的有关澄清、说明或者补正文件的内容均为签订政府采购合同的依据。</w:t>
      </w:r>
    </w:p>
    <w:p>
      <w:pPr>
        <w:pStyle w:val="53"/>
        <w:numPr>
          <w:ilvl w:val="1"/>
          <w:numId w:val="3"/>
        </w:numPr>
        <w:spacing w:line="400" w:lineRule="exact"/>
        <w:rPr>
          <w:rFonts w:cs="微软雅黑"/>
          <w:color w:val="auto"/>
          <w:sz w:val="24"/>
          <w:szCs w:val="24"/>
        </w:rPr>
      </w:pPr>
      <w:r>
        <w:rPr>
          <w:rFonts w:hint="eastAsia" w:cs="微软雅黑"/>
          <w:color w:val="auto"/>
          <w:sz w:val="24"/>
          <w:szCs w:val="24"/>
        </w:rPr>
        <w:t>因质疑投诉、不可抗力或中标人不能履约等情形，采购人保留按相关政府采购法律法规及评标委员会评审的推荐顺序与其他合格的候选供应商签订合同的权利。</w:t>
      </w:r>
    </w:p>
    <w:p>
      <w:pPr>
        <w:pStyle w:val="53"/>
        <w:numPr>
          <w:ilvl w:val="1"/>
          <w:numId w:val="3"/>
        </w:numPr>
        <w:spacing w:line="400" w:lineRule="exact"/>
        <w:rPr>
          <w:rFonts w:cs="微软雅黑"/>
          <w:color w:val="auto"/>
          <w:sz w:val="24"/>
          <w:szCs w:val="24"/>
        </w:rPr>
      </w:pPr>
      <w:r>
        <w:rPr>
          <w:rFonts w:hint="eastAsia" w:cs="微软雅黑"/>
          <w:color w:val="auto"/>
          <w:sz w:val="24"/>
          <w:szCs w:val="24"/>
        </w:rPr>
        <w:t>合同签订后交采购中心存档1份。</w:t>
      </w:r>
    </w:p>
    <w:p>
      <w:pPr>
        <w:pStyle w:val="4"/>
        <w:spacing w:before="0" w:after="120" w:line="400" w:lineRule="exact"/>
        <w:ind w:left="238"/>
        <w:rPr>
          <w:rFonts w:ascii="宋体" w:hAnsi="宋体" w:eastAsia="宋体" w:cs="微软雅黑"/>
          <w:bCs w:val="0"/>
          <w:color w:val="auto"/>
          <w:sz w:val="24"/>
          <w:szCs w:val="24"/>
        </w:rPr>
      </w:pPr>
      <w:bookmarkStart w:id="46" w:name="_Toc328816000"/>
      <w:r>
        <w:rPr>
          <w:rFonts w:hint="eastAsia" w:ascii="宋体" w:hAnsi="宋体" w:eastAsia="宋体" w:cs="微软雅黑"/>
          <w:bCs w:val="0"/>
          <w:color w:val="auto"/>
          <w:sz w:val="24"/>
          <w:szCs w:val="24"/>
        </w:rPr>
        <w:t>质疑</w:t>
      </w:r>
      <w:bookmarkEnd w:id="46"/>
    </w:p>
    <w:p>
      <w:pPr>
        <w:pStyle w:val="53"/>
        <w:tabs>
          <w:tab w:val="clear" w:pos="709"/>
        </w:tabs>
        <w:spacing w:line="400" w:lineRule="exact"/>
        <w:rPr>
          <w:color w:val="auto"/>
          <w:sz w:val="24"/>
          <w:szCs w:val="24"/>
        </w:rPr>
      </w:pPr>
      <w:r>
        <w:rPr>
          <w:rFonts w:hint="eastAsia"/>
          <w:color w:val="auto"/>
          <w:sz w:val="24"/>
          <w:szCs w:val="24"/>
        </w:rPr>
        <w:t>质疑</w:t>
      </w:r>
    </w:p>
    <w:p>
      <w:pPr>
        <w:pStyle w:val="53"/>
        <w:numPr>
          <w:ilvl w:val="1"/>
          <w:numId w:val="3"/>
        </w:numPr>
        <w:spacing w:line="400" w:lineRule="exact"/>
        <w:rPr>
          <w:rFonts w:cs="微软雅黑"/>
          <w:color w:val="auto"/>
          <w:sz w:val="24"/>
          <w:szCs w:val="24"/>
        </w:rPr>
      </w:pPr>
      <w:bookmarkStart w:id="47" w:name="_Toc328816001"/>
      <w:r>
        <w:rPr>
          <w:rFonts w:hint="eastAsia" w:cs="微软雅黑"/>
          <w:color w:val="auto"/>
          <w:sz w:val="24"/>
          <w:szCs w:val="24"/>
        </w:rPr>
        <w:t>供应商认为采购文件、采购过程、中标或者成交结果使自己的权益受到损害的，可以在知道或者应知其权益受到损害之日起7个工作日内，以书面形式提出质疑。</w:t>
      </w:r>
    </w:p>
    <w:p>
      <w:pPr>
        <w:pStyle w:val="53"/>
        <w:numPr>
          <w:ilvl w:val="1"/>
          <w:numId w:val="3"/>
        </w:numPr>
        <w:spacing w:line="400" w:lineRule="exact"/>
        <w:rPr>
          <w:rFonts w:cs="微软雅黑"/>
          <w:color w:val="auto"/>
          <w:sz w:val="24"/>
          <w:szCs w:val="24"/>
        </w:rPr>
      </w:pPr>
      <w:r>
        <w:rPr>
          <w:rFonts w:hint="eastAsia" w:cs="微软雅黑"/>
          <w:color w:val="auto"/>
          <w:sz w:val="24"/>
          <w:szCs w:val="24"/>
        </w:rPr>
        <w:t>供应商对采购文件中涉及的采购需求、评审标准、合同等由采购人提出的内容及采购结束后采购结果提出质疑的、或供应商提出的质疑事项涉及采购人与采购中心就本项目签署的政府采购委托代理协议中涉及采购人义务事项的，由采购人受理并负责答复；供应商对政府采购法律法规中规定的政府采购组织程序提出质疑的、或供应商提出的质疑事项涉及采购人与采购中心就本项目签署的政府采购委托代理协议中涉及采购中心义务事项的，由采购中心受理并负责答复。</w:t>
      </w:r>
    </w:p>
    <w:p>
      <w:pPr>
        <w:pStyle w:val="53"/>
        <w:numPr>
          <w:ilvl w:val="1"/>
          <w:numId w:val="3"/>
        </w:numPr>
        <w:spacing w:line="400" w:lineRule="exact"/>
        <w:rPr>
          <w:rFonts w:cs="微软雅黑"/>
          <w:color w:val="auto"/>
          <w:sz w:val="24"/>
          <w:szCs w:val="24"/>
        </w:rPr>
      </w:pPr>
      <w:r>
        <w:rPr>
          <w:rFonts w:hint="eastAsia" w:cs="微软雅黑"/>
          <w:color w:val="auto"/>
          <w:sz w:val="24"/>
          <w:szCs w:val="24"/>
        </w:rPr>
        <w:t>供应商应在法定质疑期内一次性提出针对同一采购程序环节的质疑。</w:t>
      </w:r>
    </w:p>
    <w:p>
      <w:pPr>
        <w:pStyle w:val="53"/>
        <w:numPr>
          <w:ilvl w:val="1"/>
          <w:numId w:val="3"/>
        </w:numPr>
        <w:spacing w:line="400" w:lineRule="exact"/>
        <w:rPr>
          <w:rFonts w:cs="微软雅黑"/>
          <w:color w:val="auto"/>
          <w:sz w:val="24"/>
          <w:szCs w:val="24"/>
        </w:rPr>
      </w:pPr>
      <w:r>
        <w:rPr>
          <w:rFonts w:cs="微软雅黑"/>
          <w:color w:val="auto"/>
          <w:sz w:val="24"/>
          <w:szCs w:val="24"/>
        </w:rPr>
        <w:t>提出质疑的供应商应当是参与</w:t>
      </w:r>
      <w:r>
        <w:rPr>
          <w:rFonts w:hint="eastAsia" w:cs="微软雅黑"/>
          <w:color w:val="auto"/>
          <w:sz w:val="24"/>
          <w:szCs w:val="24"/>
        </w:rPr>
        <w:t>本</w:t>
      </w:r>
      <w:r>
        <w:rPr>
          <w:rFonts w:cs="微软雅黑"/>
          <w:color w:val="auto"/>
          <w:sz w:val="24"/>
          <w:szCs w:val="24"/>
        </w:rPr>
        <w:t>项目采购活动的供应商。</w:t>
      </w:r>
    </w:p>
    <w:p>
      <w:pPr>
        <w:pStyle w:val="53"/>
        <w:numPr>
          <w:ilvl w:val="1"/>
          <w:numId w:val="3"/>
        </w:numPr>
        <w:spacing w:line="400" w:lineRule="exact"/>
        <w:rPr>
          <w:rFonts w:cs="微软雅黑"/>
          <w:color w:val="auto"/>
          <w:sz w:val="24"/>
          <w:szCs w:val="24"/>
        </w:rPr>
      </w:pPr>
      <w:r>
        <w:rPr>
          <w:rFonts w:hint="eastAsia" w:cs="微软雅黑"/>
          <w:color w:val="auto"/>
          <w:sz w:val="24"/>
          <w:szCs w:val="24"/>
        </w:rPr>
        <w:t>以联合体形式参加政府采购活动的，其质疑应当由组成联合体的所有供应商共同提出。</w:t>
      </w:r>
    </w:p>
    <w:p>
      <w:pPr>
        <w:pStyle w:val="53"/>
        <w:numPr>
          <w:ilvl w:val="1"/>
          <w:numId w:val="3"/>
        </w:numPr>
        <w:spacing w:line="400" w:lineRule="exact"/>
        <w:rPr>
          <w:rFonts w:cs="微软雅黑"/>
          <w:color w:val="auto"/>
          <w:sz w:val="24"/>
          <w:szCs w:val="24"/>
        </w:rPr>
      </w:pPr>
      <w:bookmarkStart w:id="48" w:name="_Toc356478669"/>
      <w:bookmarkStart w:id="49" w:name="_Toc435828258"/>
      <w:bookmarkStart w:id="50" w:name="_Toc435830560"/>
      <w:r>
        <w:rPr>
          <w:rFonts w:cs="微软雅黑"/>
          <w:color w:val="auto"/>
          <w:sz w:val="24"/>
          <w:szCs w:val="24"/>
        </w:rPr>
        <w:t>供应商提出质疑应当提交质疑函和必要的证明材料。质疑函应当包括下列内容：</w:t>
      </w:r>
    </w:p>
    <w:p>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供应商的姓名或者名称、地址、邮编、联系人及联系电话；</w:t>
      </w:r>
    </w:p>
    <w:p>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质疑项目的名称、编号；</w:t>
      </w:r>
    </w:p>
    <w:p>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具体、明确的质疑事项和与质疑事项相关的请求；</w:t>
      </w:r>
    </w:p>
    <w:p>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事实依据；</w:t>
      </w:r>
    </w:p>
    <w:p>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必要的法律依据；</w:t>
      </w:r>
    </w:p>
    <w:p>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提出质疑的日期。</w:t>
      </w:r>
    </w:p>
    <w:p>
      <w:pPr>
        <w:pStyle w:val="53"/>
        <w:numPr>
          <w:ilvl w:val="0"/>
          <w:numId w:val="0"/>
        </w:numPr>
        <w:spacing w:line="400" w:lineRule="exact"/>
        <w:ind w:left="709"/>
        <w:rPr>
          <w:rFonts w:cs="微软雅黑"/>
          <w:color w:val="auto"/>
          <w:sz w:val="24"/>
          <w:szCs w:val="24"/>
        </w:rPr>
      </w:pPr>
      <w:r>
        <w:rPr>
          <w:rFonts w:cs="微软雅黑"/>
          <w:color w:val="auto"/>
          <w:sz w:val="24"/>
          <w:szCs w:val="24"/>
        </w:rPr>
        <w:t>供应商为自然人的，应当由本人签字；供应商为法人或者其他组织的，应当由法定代表人、主要负责人</w:t>
      </w:r>
      <w:r>
        <w:rPr>
          <w:rFonts w:hint="eastAsia" w:cs="微软雅黑"/>
          <w:color w:val="auto"/>
          <w:sz w:val="24"/>
          <w:szCs w:val="24"/>
        </w:rPr>
        <w:t>及</w:t>
      </w:r>
      <w:r>
        <w:rPr>
          <w:rFonts w:cs="微软雅黑"/>
          <w:color w:val="auto"/>
          <w:sz w:val="24"/>
          <w:szCs w:val="24"/>
        </w:rPr>
        <w:t>其授权代表签字或者</w:t>
      </w:r>
      <w:r>
        <w:rPr>
          <w:rFonts w:hint="eastAsia" w:cs="微软雅黑"/>
          <w:color w:val="auto"/>
          <w:sz w:val="24"/>
          <w:szCs w:val="24"/>
        </w:rPr>
        <w:t>盖章</w:t>
      </w:r>
      <w:r>
        <w:rPr>
          <w:rFonts w:cs="微软雅黑"/>
          <w:color w:val="auto"/>
          <w:sz w:val="24"/>
          <w:szCs w:val="24"/>
        </w:rPr>
        <w:t>，并加盖</w:t>
      </w:r>
      <w:r>
        <w:rPr>
          <w:rFonts w:hint="eastAsia" w:cs="微软雅黑"/>
          <w:color w:val="auto"/>
          <w:sz w:val="24"/>
          <w:szCs w:val="24"/>
        </w:rPr>
        <w:t>供应商</w:t>
      </w:r>
      <w:r>
        <w:rPr>
          <w:rFonts w:cs="微软雅黑"/>
          <w:color w:val="auto"/>
          <w:sz w:val="24"/>
          <w:szCs w:val="24"/>
        </w:rPr>
        <w:t>公章。</w:t>
      </w:r>
    </w:p>
    <w:p>
      <w:pPr>
        <w:pStyle w:val="53"/>
        <w:numPr>
          <w:ilvl w:val="1"/>
          <w:numId w:val="3"/>
        </w:numPr>
        <w:spacing w:line="400" w:lineRule="exact"/>
        <w:rPr>
          <w:rFonts w:cs="微软雅黑"/>
          <w:color w:val="auto"/>
          <w:sz w:val="24"/>
          <w:szCs w:val="24"/>
        </w:rPr>
      </w:pPr>
      <w:r>
        <w:rPr>
          <w:rFonts w:cs="微软雅黑"/>
          <w:color w:val="auto"/>
          <w:sz w:val="24"/>
          <w:szCs w:val="24"/>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w:t>
      </w:r>
      <w:r>
        <w:rPr>
          <w:rFonts w:hint="eastAsia" w:cs="微软雅黑"/>
          <w:color w:val="auto"/>
          <w:sz w:val="24"/>
          <w:szCs w:val="24"/>
        </w:rPr>
        <w:t>盖章</w:t>
      </w:r>
      <w:r>
        <w:rPr>
          <w:rFonts w:cs="微软雅黑"/>
          <w:color w:val="auto"/>
          <w:sz w:val="24"/>
          <w:szCs w:val="24"/>
        </w:rPr>
        <w:t>，并加盖</w:t>
      </w:r>
      <w:r>
        <w:rPr>
          <w:rFonts w:hint="eastAsia" w:cs="微软雅黑"/>
          <w:color w:val="auto"/>
          <w:sz w:val="24"/>
          <w:szCs w:val="24"/>
        </w:rPr>
        <w:t>供应商</w:t>
      </w:r>
      <w:r>
        <w:rPr>
          <w:rFonts w:cs="微软雅黑"/>
          <w:color w:val="auto"/>
          <w:sz w:val="24"/>
          <w:szCs w:val="24"/>
        </w:rPr>
        <w:t>公章。</w:t>
      </w:r>
    </w:p>
    <w:p>
      <w:pPr>
        <w:pStyle w:val="53"/>
        <w:numPr>
          <w:ilvl w:val="0"/>
          <w:numId w:val="0"/>
        </w:numPr>
        <w:spacing w:line="400" w:lineRule="exact"/>
        <w:ind w:left="709"/>
        <w:rPr>
          <w:rFonts w:cs="微软雅黑"/>
          <w:color w:val="auto"/>
          <w:sz w:val="24"/>
          <w:szCs w:val="24"/>
        </w:rPr>
      </w:pPr>
      <w:r>
        <w:rPr>
          <w:rFonts w:cs="微软雅黑"/>
          <w:color w:val="auto"/>
          <w:sz w:val="24"/>
          <w:szCs w:val="24"/>
        </w:rPr>
        <w:t>代理人提出质疑，应当提交供应商签署的授权委托书</w:t>
      </w:r>
      <w:r>
        <w:rPr>
          <w:rFonts w:hint="eastAsia" w:cs="微软雅黑"/>
          <w:color w:val="auto"/>
          <w:sz w:val="24"/>
          <w:szCs w:val="24"/>
        </w:rPr>
        <w:t>原件</w:t>
      </w:r>
      <w:r>
        <w:rPr>
          <w:rFonts w:cs="微软雅黑"/>
          <w:color w:val="auto"/>
          <w:sz w:val="24"/>
          <w:szCs w:val="24"/>
        </w:rPr>
        <w:t>。</w:t>
      </w:r>
    </w:p>
    <w:p>
      <w:pPr>
        <w:pStyle w:val="53"/>
        <w:numPr>
          <w:ilvl w:val="1"/>
          <w:numId w:val="3"/>
        </w:numPr>
        <w:spacing w:line="400" w:lineRule="exact"/>
        <w:rPr>
          <w:rFonts w:cs="微软雅黑"/>
          <w:color w:val="auto"/>
          <w:sz w:val="24"/>
          <w:szCs w:val="24"/>
        </w:rPr>
      </w:pPr>
      <w:r>
        <w:rPr>
          <w:rFonts w:hint="eastAsia" w:cs="微软雅黑"/>
          <w:color w:val="auto"/>
          <w:sz w:val="24"/>
          <w:szCs w:val="24"/>
        </w:rPr>
        <w:t>供应商提出质疑的须按招标文件规定格式由法定代表人或其授权代表当面提交质疑函原件（由授权代表提交的，还须提交供应商签署的授权委托书原件），并出示法定代表人或其授权代表的身份证原件。</w:t>
      </w:r>
    </w:p>
    <w:p>
      <w:pPr>
        <w:pStyle w:val="53"/>
        <w:numPr>
          <w:ilvl w:val="1"/>
          <w:numId w:val="3"/>
        </w:numPr>
        <w:spacing w:line="400" w:lineRule="exact"/>
        <w:rPr>
          <w:rFonts w:cs="微软雅黑"/>
          <w:color w:val="auto"/>
          <w:sz w:val="24"/>
          <w:szCs w:val="24"/>
        </w:rPr>
      </w:pPr>
      <w:r>
        <w:rPr>
          <w:rFonts w:hint="eastAsia" w:cs="微软雅黑"/>
          <w:color w:val="auto"/>
          <w:sz w:val="24"/>
          <w:szCs w:val="24"/>
        </w:rPr>
        <w:t>供应商不得进行虚假、恶意的质疑，不得扰乱政府采购正常的工作秩序。</w:t>
      </w:r>
    </w:p>
    <w:bookmarkEnd w:id="48"/>
    <w:bookmarkEnd w:id="49"/>
    <w:bookmarkEnd w:id="50"/>
    <w:p>
      <w:pPr>
        <w:pStyle w:val="53"/>
        <w:numPr>
          <w:ilvl w:val="1"/>
          <w:numId w:val="3"/>
        </w:numPr>
        <w:spacing w:line="400" w:lineRule="exact"/>
        <w:rPr>
          <w:rFonts w:cs="微软雅黑"/>
          <w:color w:val="auto"/>
          <w:sz w:val="24"/>
          <w:szCs w:val="24"/>
        </w:rPr>
      </w:pPr>
      <w:bookmarkStart w:id="51" w:name="_Toc356478670"/>
      <w:bookmarkStart w:id="52" w:name="_Toc435830561"/>
      <w:bookmarkStart w:id="53" w:name="_Toc435828259"/>
      <w:r>
        <w:rPr>
          <w:rFonts w:hint="eastAsia" w:cs="微软雅黑"/>
          <w:color w:val="auto"/>
          <w:sz w:val="24"/>
          <w:szCs w:val="24"/>
        </w:rPr>
        <w:t>不符合上述26.2-26.9条规定的质疑函不予受理。</w:t>
      </w:r>
      <w:bookmarkEnd w:id="51"/>
      <w:bookmarkEnd w:id="52"/>
      <w:bookmarkEnd w:id="53"/>
    </w:p>
    <w:p>
      <w:pPr>
        <w:pStyle w:val="53"/>
        <w:numPr>
          <w:ilvl w:val="1"/>
          <w:numId w:val="3"/>
        </w:numPr>
        <w:spacing w:line="400" w:lineRule="exact"/>
        <w:rPr>
          <w:rFonts w:cs="微软雅黑"/>
          <w:color w:val="auto"/>
          <w:sz w:val="24"/>
          <w:szCs w:val="24"/>
        </w:rPr>
      </w:pPr>
      <w:bookmarkStart w:id="54" w:name="_Toc435828260"/>
      <w:bookmarkStart w:id="55" w:name="_Toc435830562"/>
      <w:bookmarkStart w:id="56" w:name="_Toc356478671"/>
      <w:r>
        <w:rPr>
          <w:rFonts w:hint="eastAsia" w:cs="微软雅黑"/>
          <w:color w:val="auto"/>
          <w:sz w:val="24"/>
          <w:szCs w:val="24"/>
        </w:rPr>
        <w:t>供应商如果捏造事实、提供虚假材料或者以非法手段取得证明材料进行质疑的，或在质疑过程中采取不正当手段诋毁、排挤其他供应商的，将报请有关部门查处。如情况属实，将列入不良行为记录名单，在一至三年内禁止参加政府采购活动等处罚，情节严重的，吊销营业执照，构成犯罪的，依法追究刑事责任。</w:t>
      </w:r>
      <w:bookmarkEnd w:id="54"/>
      <w:bookmarkEnd w:id="55"/>
      <w:bookmarkEnd w:id="56"/>
    </w:p>
    <w:p>
      <w:pPr>
        <w:pStyle w:val="53"/>
        <w:numPr>
          <w:ilvl w:val="0"/>
          <w:numId w:val="0"/>
        </w:numPr>
        <w:spacing w:line="400" w:lineRule="exact"/>
        <w:rPr>
          <w:rFonts w:cs="微软雅黑"/>
          <w:color w:val="auto"/>
          <w:sz w:val="24"/>
          <w:szCs w:val="24"/>
        </w:rPr>
      </w:pPr>
    </w:p>
    <w:p>
      <w:pPr>
        <w:pStyle w:val="53"/>
        <w:numPr>
          <w:ilvl w:val="0"/>
          <w:numId w:val="0"/>
        </w:numPr>
        <w:spacing w:line="400" w:lineRule="exact"/>
        <w:rPr>
          <w:rStyle w:val="56"/>
          <w:b w:val="0"/>
          <w:bCs w:val="0"/>
          <w:color w:val="auto"/>
          <w:kern w:val="2"/>
          <w:sz w:val="24"/>
          <w:szCs w:val="24"/>
        </w:rPr>
      </w:pPr>
      <w:r>
        <w:rPr>
          <w:rStyle w:val="56"/>
          <w:rFonts w:hint="eastAsia"/>
          <w:b w:val="0"/>
          <w:bCs w:val="0"/>
          <w:color w:val="auto"/>
          <w:kern w:val="2"/>
          <w:sz w:val="24"/>
          <w:szCs w:val="24"/>
        </w:rPr>
        <w:t>质疑函格式：</w:t>
      </w:r>
    </w:p>
    <w:p>
      <w:pPr>
        <w:jc w:val="center"/>
        <w:rPr>
          <w:rFonts w:ascii="宋体" w:hAnsi="宋体" w:cs="仿宋_GB2312"/>
          <w:b/>
          <w:color w:val="auto"/>
          <w:sz w:val="24"/>
          <w:szCs w:val="24"/>
        </w:rPr>
      </w:pPr>
      <w:r>
        <w:rPr>
          <w:rFonts w:hint="eastAsia" w:ascii="宋体" w:hAnsi="宋体" w:cs="仿宋_GB2312"/>
          <w:b/>
          <w:color w:val="auto"/>
          <w:sz w:val="24"/>
          <w:szCs w:val="24"/>
        </w:rPr>
        <w:t>政府采购项目质疑函</w:t>
      </w:r>
    </w:p>
    <w:p>
      <w:pPr>
        <w:snapToGrid w:val="0"/>
        <w:spacing w:beforeLines="100" w:line="360" w:lineRule="auto"/>
        <w:rPr>
          <w:rFonts w:ascii="宋体" w:hAnsi="宋体" w:cs="仿宋"/>
          <w:b/>
          <w:bCs/>
          <w:color w:val="auto"/>
          <w:sz w:val="24"/>
          <w:szCs w:val="24"/>
        </w:rPr>
      </w:pPr>
      <w:r>
        <w:rPr>
          <w:rFonts w:hint="eastAsia" w:ascii="宋体" w:hAnsi="宋体" w:cs="仿宋"/>
          <w:b/>
          <w:bCs/>
          <w:color w:val="auto"/>
          <w:sz w:val="24"/>
          <w:szCs w:val="24"/>
        </w:rPr>
        <w:t>一、质疑供应商基本信息</w:t>
      </w:r>
    </w:p>
    <w:p>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质疑供应商名称：</w:t>
      </w:r>
    </w:p>
    <w:p>
      <w:pPr>
        <w:snapToGrid w:val="0"/>
        <w:spacing w:line="360" w:lineRule="auto"/>
        <w:rPr>
          <w:rFonts w:ascii="宋体" w:hAnsi="宋体" w:cs="仿宋"/>
          <w:color w:val="auto"/>
          <w:sz w:val="24"/>
          <w:szCs w:val="24"/>
        </w:rPr>
      </w:pPr>
      <w:r>
        <w:rPr>
          <w:rFonts w:hint="eastAsia" w:ascii="宋体" w:hAnsi="宋体" w:cs="仿宋"/>
          <w:color w:val="auto"/>
          <w:sz w:val="24"/>
          <w:szCs w:val="24"/>
        </w:rPr>
        <w:t>地址：</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邮编：</w:t>
      </w:r>
    </w:p>
    <w:p>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法定代表人：</w:t>
      </w:r>
    </w:p>
    <w:p>
      <w:pPr>
        <w:snapToGrid w:val="0"/>
        <w:spacing w:line="360" w:lineRule="auto"/>
        <w:rPr>
          <w:rFonts w:ascii="宋体" w:hAnsi="宋体" w:cs="仿宋"/>
          <w:color w:val="auto"/>
          <w:sz w:val="24"/>
          <w:szCs w:val="24"/>
        </w:rPr>
      </w:pPr>
      <w:r>
        <w:rPr>
          <w:rFonts w:hint="eastAsia" w:ascii="宋体" w:hAnsi="宋体" w:cs="仿宋"/>
          <w:color w:val="auto"/>
          <w:sz w:val="24"/>
          <w:szCs w:val="24"/>
        </w:rPr>
        <w:t>联系电话：</w:t>
      </w:r>
    </w:p>
    <w:p>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授权代表：</w:t>
      </w:r>
    </w:p>
    <w:p>
      <w:pPr>
        <w:snapToGrid w:val="0"/>
        <w:spacing w:line="360" w:lineRule="auto"/>
        <w:rPr>
          <w:rFonts w:ascii="宋体" w:hAnsi="宋体" w:cs="仿宋"/>
          <w:color w:val="auto"/>
          <w:sz w:val="24"/>
          <w:szCs w:val="24"/>
        </w:rPr>
      </w:pPr>
      <w:r>
        <w:rPr>
          <w:rFonts w:hint="eastAsia" w:ascii="宋体" w:hAnsi="宋体" w:cs="仿宋"/>
          <w:color w:val="auto"/>
          <w:sz w:val="24"/>
          <w:szCs w:val="24"/>
        </w:rPr>
        <w:t>手机：</w:t>
      </w:r>
    </w:p>
    <w:p>
      <w:pPr>
        <w:snapToGrid w:val="0"/>
        <w:spacing w:line="360" w:lineRule="auto"/>
        <w:rPr>
          <w:rFonts w:ascii="宋体" w:hAnsi="宋体" w:cs="仿宋"/>
          <w:color w:val="auto"/>
          <w:sz w:val="24"/>
          <w:szCs w:val="24"/>
        </w:rPr>
      </w:pPr>
      <w:r>
        <w:rPr>
          <w:rFonts w:hint="eastAsia" w:ascii="宋体" w:hAnsi="宋体" w:cs="仿宋"/>
          <w:color w:val="auto"/>
          <w:sz w:val="24"/>
          <w:szCs w:val="24"/>
        </w:rPr>
        <w:t>传真：</w:t>
      </w:r>
    </w:p>
    <w:p>
      <w:pPr>
        <w:snapToGrid w:val="0"/>
        <w:spacing w:line="360" w:lineRule="auto"/>
        <w:rPr>
          <w:rFonts w:ascii="宋体" w:hAnsi="宋体" w:cs="仿宋"/>
          <w:b/>
          <w:bCs/>
          <w:color w:val="auto"/>
          <w:sz w:val="24"/>
          <w:szCs w:val="24"/>
        </w:rPr>
      </w:pPr>
      <w:r>
        <w:rPr>
          <w:rFonts w:hint="eastAsia" w:ascii="宋体" w:hAnsi="宋体" w:cs="仿宋"/>
          <w:b/>
          <w:bCs/>
          <w:color w:val="auto"/>
          <w:sz w:val="24"/>
          <w:szCs w:val="24"/>
        </w:rPr>
        <w:t>二、质疑项目基本情况</w:t>
      </w:r>
    </w:p>
    <w:p>
      <w:pPr>
        <w:snapToGrid w:val="0"/>
        <w:spacing w:line="360" w:lineRule="auto"/>
        <w:rPr>
          <w:rFonts w:ascii="宋体" w:hAnsi="宋体" w:cs="仿宋"/>
          <w:color w:val="auto"/>
          <w:sz w:val="24"/>
          <w:szCs w:val="24"/>
        </w:rPr>
      </w:pPr>
      <w:r>
        <w:rPr>
          <w:rFonts w:hint="eastAsia" w:ascii="宋体" w:hAnsi="宋体" w:cs="仿宋"/>
          <w:color w:val="auto"/>
          <w:sz w:val="24"/>
          <w:szCs w:val="24"/>
        </w:rPr>
        <w:t>质疑项目的名称：</w:t>
      </w:r>
    </w:p>
    <w:p>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质疑项目的采购编号：</w:t>
      </w:r>
    </w:p>
    <w:p>
      <w:pPr>
        <w:snapToGrid w:val="0"/>
        <w:spacing w:line="360" w:lineRule="auto"/>
        <w:rPr>
          <w:rFonts w:ascii="宋体" w:hAnsi="宋体" w:cs="仿宋"/>
          <w:color w:val="auto"/>
          <w:sz w:val="24"/>
          <w:szCs w:val="24"/>
        </w:rPr>
      </w:pPr>
      <w:r>
        <w:rPr>
          <w:rFonts w:hint="eastAsia" w:ascii="宋体" w:hAnsi="宋体" w:cs="仿宋"/>
          <w:color w:val="auto"/>
          <w:sz w:val="24"/>
          <w:szCs w:val="24"/>
        </w:rPr>
        <w:t>包号：</w:t>
      </w:r>
    </w:p>
    <w:p>
      <w:pPr>
        <w:snapToGrid w:val="0"/>
        <w:spacing w:line="360" w:lineRule="auto"/>
        <w:rPr>
          <w:rFonts w:ascii="宋体" w:hAnsi="宋体" w:cs="仿宋"/>
          <w:color w:val="auto"/>
          <w:sz w:val="24"/>
          <w:szCs w:val="24"/>
        </w:rPr>
      </w:pPr>
      <w:r>
        <w:rPr>
          <w:rFonts w:hint="eastAsia" w:ascii="宋体" w:hAnsi="宋体" w:cs="仿宋"/>
          <w:color w:val="auto"/>
          <w:sz w:val="24"/>
          <w:szCs w:val="24"/>
        </w:rPr>
        <w:t>采购文件获取日期：</w:t>
      </w:r>
    </w:p>
    <w:p>
      <w:pPr>
        <w:snapToGrid w:val="0"/>
        <w:spacing w:line="360" w:lineRule="auto"/>
        <w:rPr>
          <w:rFonts w:ascii="宋体" w:hAnsi="宋体" w:cs="仿宋"/>
          <w:color w:val="auto"/>
          <w:sz w:val="24"/>
          <w:szCs w:val="24"/>
        </w:rPr>
      </w:pPr>
      <w:r>
        <w:rPr>
          <w:rFonts w:hint="eastAsia" w:ascii="宋体" w:hAnsi="宋体" w:cs="仿宋"/>
          <w:color w:val="auto"/>
          <w:sz w:val="24"/>
          <w:szCs w:val="24"/>
        </w:rPr>
        <w:t>质疑事项分类：</w:t>
      </w:r>
    </w:p>
    <w:p>
      <w:pPr>
        <w:snapToGrid w:val="0"/>
        <w:spacing w:line="360" w:lineRule="auto"/>
        <w:rPr>
          <w:rFonts w:ascii="宋体" w:hAnsi="宋体" w:cs="仿宋"/>
          <w:color w:val="auto"/>
          <w:sz w:val="24"/>
          <w:szCs w:val="24"/>
        </w:rPr>
      </w:pPr>
      <w:r>
        <w:rPr>
          <w:rFonts w:hint="eastAsia" w:ascii="宋体" w:hAnsi="宋体" w:cs="仿宋"/>
          <w:color w:val="auto"/>
          <w:sz w:val="24"/>
          <w:szCs w:val="24"/>
        </w:rPr>
        <w:t>□采购文件    □采购过程   □中标、成交结果    □采购执行程序</w:t>
      </w:r>
    </w:p>
    <w:p>
      <w:pPr>
        <w:snapToGrid w:val="0"/>
        <w:spacing w:line="360" w:lineRule="auto"/>
        <w:rPr>
          <w:rFonts w:ascii="宋体" w:hAnsi="宋体" w:cs="仿宋"/>
          <w:color w:val="auto"/>
          <w:sz w:val="24"/>
          <w:szCs w:val="24"/>
        </w:rPr>
      </w:pPr>
      <w:r>
        <w:rPr>
          <w:rFonts w:hint="eastAsia" w:ascii="宋体" w:hAnsi="宋体" w:cs="仿宋"/>
          <w:color w:val="auto"/>
          <w:sz w:val="24"/>
          <w:szCs w:val="24"/>
        </w:rPr>
        <w:t>□上述四项之外的其他事项</w:t>
      </w:r>
    </w:p>
    <w:p>
      <w:pPr>
        <w:snapToGrid w:val="0"/>
        <w:spacing w:line="360" w:lineRule="auto"/>
        <w:rPr>
          <w:rFonts w:ascii="宋体" w:hAnsi="宋体" w:cs="仿宋"/>
          <w:b/>
          <w:bCs/>
          <w:color w:val="auto"/>
          <w:sz w:val="24"/>
          <w:szCs w:val="24"/>
        </w:rPr>
      </w:pPr>
      <w:r>
        <w:rPr>
          <w:rFonts w:hint="eastAsia" w:ascii="宋体" w:hAnsi="宋体" w:cs="仿宋"/>
          <w:b/>
          <w:bCs/>
          <w:color w:val="auto"/>
          <w:sz w:val="24"/>
          <w:szCs w:val="24"/>
        </w:rPr>
        <w:t>三、质疑事项具体内容</w:t>
      </w:r>
    </w:p>
    <w:p>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质疑事项1：</w:t>
      </w:r>
    </w:p>
    <w:p>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事实依据：</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法律依据：</w:t>
      </w:r>
    </w:p>
    <w:p>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质疑事项2</w:t>
      </w:r>
    </w:p>
    <w:p>
      <w:pPr>
        <w:snapToGrid w:val="0"/>
        <w:spacing w:line="360" w:lineRule="auto"/>
        <w:rPr>
          <w:rFonts w:ascii="宋体" w:hAnsi="宋体" w:cs="仿宋"/>
          <w:color w:val="auto"/>
          <w:sz w:val="24"/>
          <w:szCs w:val="24"/>
        </w:rPr>
      </w:pPr>
      <w:r>
        <w:rPr>
          <w:rFonts w:hint="eastAsia" w:ascii="宋体" w:hAnsi="宋体" w:cs="仿宋"/>
          <w:color w:val="auto"/>
          <w:sz w:val="24"/>
          <w:szCs w:val="24"/>
        </w:rPr>
        <w:t>……</w:t>
      </w:r>
    </w:p>
    <w:p>
      <w:pPr>
        <w:snapToGrid w:val="0"/>
        <w:spacing w:line="360" w:lineRule="auto"/>
        <w:rPr>
          <w:rFonts w:ascii="宋体" w:hAnsi="宋体" w:cs="仿宋"/>
          <w:b/>
          <w:bCs/>
          <w:color w:val="auto"/>
          <w:sz w:val="24"/>
          <w:szCs w:val="24"/>
        </w:rPr>
      </w:pPr>
      <w:r>
        <w:rPr>
          <w:rFonts w:hint="eastAsia" w:ascii="宋体" w:hAnsi="宋体" w:cs="仿宋"/>
          <w:b/>
          <w:bCs/>
          <w:color w:val="auto"/>
          <w:sz w:val="24"/>
          <w:szCs w:val="24"/>
        </w:rPr>
        <w:t>四、与质疑事项相关的质疑请求</w:t>
      </w:r>
    </w:p>
    <w:p>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请求：</w:t>
      </w:r>
    </w:p>
    <w:p>
      <w:pPr>
        <w:rPr>
          <w:rFonts w:ascii="宋体" w:hAnsi="宋体"/>
          <w:color w:val="auto"/>
          <w:sz w:val="24"/>
          <w:szCs w:val="24"/>
        </w:rPr>
      </w:pPr>
      <w:r>
        <w:rPr>
          <w:rFonts w:hint="eastAsia" w:ascii="宋体" w:hAnsi="宋体"/>
          <w:color w:val="auto"/>
          <w:sz w:val="24"/>
          <w:szCs w:val="24"/>
        </w:rPr>
        <w:t>法定代表人签字（盖章）：</w:t>
      </w:r>
    </w:p>
    <w:p>
      <w:pPr>
        <w:rPr>
          <w:rFonts w:ascii="宋体" w:hAnsi="宋体"/>
          <w:color w:val="auto"/>
          <w:sz w:val="24"/>
          <w:szCs w:val="24"/>
        </w:rPr>
      </w:pPr>
      <w:r>
        <w:rPr>
          <w:rFonts w:hint="eastAsia" w:ascii="宋体" w:hAnsi="宋体"/>
          <w:color w:val="auto"/>
          <w:sz w:val="24"/>
          <w:szCs w:val="24"/>
        </w:rPr>
        <w:t>授权代表签字：</w:t>
      </w:r>
    </w:p>
    <w:p>
      <w:pPr>
        <w:rPr>
          <w:rFonts w:ascii="宋体" w:hAnsi="宋体"/>
          <w:color w:val="auto"/>
          <w:sz w:val="24"/>
          <w:szCs w:val="24"/>
        </w:rPr>
      </w:pPr>
      <w:r>
        <w:rPr>
          <w:rFonts w:hint="eastAsia" w:ascii="宋体" w:hAnsi="宋体"/>
          <w:color w:val="auto"/>
          <w:sz w:val="24"/>
          <w:szCs w:val="24"/>
        </w:rPr>
        <w:t xml:space="preserve">公章：                      </w:t>
      </w:r>
    </w:p>
    <w:p>
      <w:pPr>
        <w:pStyle w:val="53"/>
        <w:numPr>
          <w:ilvl w:val="0"/>
          <w:numId w:val="0"/>
        </w:numPr>
        <w:adjustRightInd/>
        <w:rPr>
          <w:b/>
          <w:color w:val="auto"/>
          <w:sz w:val="28"/>
          <w:szCs w:val="28"/>
        </w:rPr>
        <w:sectPr>
          <w:pgSz w:w="11907" w:h="16840"/>
          <w:pgMar w:top="1701" w:right="1588" w:bottom="1701" w:left="1588" w:header="851" w:footer="851" w:gutter="0"/>
          <w:cols w:space="720" w:num="1"/>
          <w:docGrid w:type="lines" w:linePitch="312" w:charSpace="0"/>
        </w:sectPr>
      </w:pPr>
      <w:r>
        <w:rPr>
          <w:rFonts w:hint="eastAsia" w:ascii="宋体" w:hAnsi="宋体"/>
          <w:color w:val="auto"/>
          <w:sz w:val="24"/>
          <w:szCs w:val="24"/>
        </w:rPr>
        <w:t>提交日期：</w:t>
      </w:r>
      <w:bookmarkEnd w:id="47"/>
    </w:p>
    <w:p>
      <w:pPr>
        <w:pStyle w:val="48"/>
        <w:snapToGrid w:val="0"/>
        <w:spacing w:before="0" w:after="0"/>
        <w:ind w:left="0"/>
        <w:rPr>
          <w:rFonts w:ascii="宋体" w:hAnsi="宋体"/>
          <w:color w:val="auto"/>
        </w:rPr>
      </w:pPr>
      <w:bookmarkStart w:id="57" w:name="_Toc5503"/>
      <w:bookmarkEnd w:id="57"/>
      <w:bookmarkStart w:id="58" w:name="_Toc466015313"/>
      <w:bookmarkStart w:id="90" w:name="_GoBack"/>
      <w:bookmarkEnd w:id="90"/>
      <w:r>
        <w:rPr>
          <w:rFonts w:hint="eastAsia" w:ascii="宋体" w:hAnsi="宋体"/>
          <w:color w:val="auto"/>
        </w:rPr>
        <w:t>采购需求</w:t>
      </w:r>
      <w:bookmarkEnd w:id="58"/>
    </w:p>
    <w:p>
      <w:pPr>
        <w:pStyle w:val="24"/>
        <w:numPr>
          <w:ilvl w:val="0"/>
          <w:numId w:val="16"/>
        </w:numPr>
        <w:ind w:left="480" w:leftChars="200" w:firstLine="0" w:firstLineChars="0"/>
        <w:rPr>
          <w:rFonts w:hint="eastAsia" w:ascii="宋体" w:hAnsi="宋体" w:cs="宋体"/>
          <w:b/>
          <w:bCs/>
          <w:color w:val="auto"/>
          <w:lang w:eastAsia="zh-CN"/>
        </w:rPr>
      </w:pPr>
      <w:bookmarkStart w:id="59" w:name="_Toc13684"/>
      <w:bookmarkStart w:id="60" w:name="_Toc174185168"/>
      <w:bookmarkStart w:id="61" w:name="_Toc184023125"/>
      <w:r>
        <w:rPr>
          <w:rFonts w:hint="eastAsia" w:ascii="宋体" w:hAnsi="宋体" w:cs="宋体"/>
          <w:b/>
          <w:bCs/>
          <w:color w:val="auto"/>
          <w:lang w:eastAsia="zh-CN"/>
        </w:rPr>
        <w:t>需求清单</w:t>
      </w:r>
    </w:p>
    <w:p>
      <w:pPr>
        <w:rPr>
          <w:rFonts w:hint="eastAsia"/>
          <w:sz w:val="24"/>
          <w:szCs w:val="24"/>
          <w:lang w:val="en-US" w:eastAsia="zh-CN"/>
        </w:rPr>
      </w:pPr>
      <w:r>
        <w:rPr>
          <w:rFonts w:hint="eastAsia"/>
          <w:sz w:val="24"/>
          <w:szCs w:val="24"/>
          <w:lang w:val="en-US" w:eastAsia="zh-CN"/>
        </w:rPr>
        <w:t>第一包：炮厂小学计算机教室</w:t>
      </w:r>
    </w:p>
    <w:tbl>
      <w:tblPr>
        <w:tblStyle w:val="31"/>
        <w:tblW w:w="10330"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65"/>
        <w:gridCol w:w="765"/>
        <w:gridCol w:w="7890"/>
        <w:gridCol w:w="54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设备名称</w:t>
            </w:r>
          </w:p>
        </w:tc>
        <w:tc>
          <w:tcPr>
            <w:tcW w:w="7890"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主要规格参数、主要功能</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触控一体机</w:t>
            </w:r>
          </w:p>
        </w:tc>
        <w:tc>
          <w:tcPr>
            <w:tcW w:w="7890" w:type="dxa"/>
            <w:shd w:val="clear" w:color="auto" w:fill="auto"/>
            <w:vAlign w:val="top"/>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一、整机硬件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整机显示尺寸≧86英寸，分辨率≥3840*2160，采用红外触控技术，在双系统下均支持≥40点同时触控；</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整机表面钢化玻璃厚度≤3.2mm，硬度可达莫氏7级；</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#整机前置标配HDMI输入≥1路, USB≥2路，Type-C≥1路，具有中文标识,后置标配VGA输入≥1路，HDMI输入≥2路，HDMI输出≥1路（提供截图，照片等证明文件并加盖投标人公章）；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整机具有通屏笔槽结构，可放置书写笔、粉笔、水性笔等。</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#整机前置中文按键≥7个，可实现音量加减、窗口关闭、触控开关等功能，且按键均具备两种及以上明确的功能,具备前置针孔式电脑还原按键，并配有中文标识（提供截图，照片等证明文件并加盖投标人公章）；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整机内置Wi-Fi6无线网卡，内置AP无线热点发射，内置蓝牙Bluetooth 5.4模块，支持连接外部蓝牙音箱播放音频；</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#无需打开整机背板，前置接口面板和前置按键面板支持单独前拆（提供第三方机构出具的相关检测报告复印件，并加盖投标人公章）；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前置U盘接口需采用隐藏式设计，具有翻转式防护盖板，盖板高度≥4cm，盖板开合角度≥100°；</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整机扬声器功率≥60W；</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#整机具备≥12核芯片驱动， Android 系统版本≥14.0，内存≥8G，存储≥64G（提供截图，照片等证明文件并加盖投标人公章）；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#内置高清5K摄像头，有效像素≥1900W，可输出最大分辨率5104*3864（提供第三方机构出具的相关检测报告复印件，并加盖投标人公章）；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整机采用OPS-C 标准的80pin针口设计；</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二、教学软件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提供符合教师授课场景的教学桌面教学系统,可将教师授课常用应用放至主页，单击即可打开应用，方便教师快捷调用软件；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#应用页面采用分类模块显示，至少包含课件制作、教学工具、管理辅助、数字资源等，方便教师快速找到相应应用（提供截图，照片等证明文件并加盖投标人公章）；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#教学软件支持多种登录方式，包含不局限于U盘登录、账号密码直接登录、微信扫码登录、手机验证码快捷登录、书写登录等，支持免登录打开本地课件（提供截图，照片等证明文件并加盖厂家公章）；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软件提供个人云盘存储功能，注册即可免费获取不少于50GB云端存储空间；</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提供预置的课件素材，允许老师在网页端、移动端、电脑端进行内容的选择与组合，快速生成课件并浏览，所有制作的课件均实时保存至云端，老师只需登录即可查看；</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提供模块化的课件素材和教案，学科涵盖小学语文、初中语文、小学数学、初中数学、高中数学、小学英语、初中英语、小学科学、初中物理、初中化学等学科;</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提供语文生字卡片、英语生词卡片、化学工具编辑器、数学工具编辑器、物理仿真实验、英文手写识别等学课工具；</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双侧快捷键授课状态下具备多个教学辅助工具，包含截图、时钟、放大镜、聚光灯、黑屏、随机数、骰子和大转盘8种；</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软件在授课模式状态下支持多种笔形，颜色选择，笔形不少于9种，颜色不少于5种；</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支持免登录打开离线课件，直接进入课件全屏播放状态；登录后，可返回备课编辑状态；</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内置黑板贴功能，可实现屏幕截图，实时语文、数学、外语、值日、通知等学科分类任务预留，截图操作灵活方便，支持手势拖拽边框缩放大小，可选择区域显示范围（提供截图，照片等证明文件并加盖投标人公章）；</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触控一体机移动推车</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适用尺寸：可悬挂≥86英寸触控一体机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承重：≥130kg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材料：铝材及冷轧钢板</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移动绿板</w:t>
            </w:r>
          </w:p>
        </w:tc>
        <w:tc>
          <w:tcPr>
            <w:tcW w:w="7890"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1.规格：1200mm*2400mm（可根据教室及触控一体机实际尺寸来</w:t>
            </w:r>
            <w:r>
              <w:rPr>
                <w:rFonts w:hint="eastAsia" w:asciiTheme="minorEastAsia" w:hAnsiTheme="minorEastAsia" w:cstheme="minorEastAsia"/>
                <w:i w:val="0"/>
                <w:iCs w:val="0"/>
                <w:color w:val="000000"/>
                <w:kern w:val="0"/>
                <w:sz w:val="24"/>
                <w:szCs w:val="24"/>
                <w:u w:val="none"/>
                <w:lang w:val="en-US" w:eastAsia="zh-CN" w:bidi="ar"/>
              </w:rPr>
              <w:t>微调</w:t>
            </w:r>
            <w:r>
              <w:rPr>
                <w:rFonts w:hint="eastAsia" w:asciiTheme="minorEastAsia" w:hAnsiTheme="minorEastAsia" w:eastAsia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 搪瓷绿板，双面（绿/白）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3.移动支架</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5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6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吸顶展台</w:t>
            </w:r>
          </w:p>
        </w:tc>
        <w:tc>
          <w:tcPr>
            <w:tcW w:w="7890" w:type="dxa"/>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1.成像设备: 1/2.8英寸高品质CMOS传感器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2.总像素:500万最大分辨率≥1920x1080，输出帧率≥60帧/秒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3.视频输出:1080p60/50,1080i60/50,1080p30/25,720p60/50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4.输出接口: 支持HDMI，SDI，USB、有线LAN、无线LAN接口（5GWiFi模块可选）；SDI支持在1080P60格式下传输100米。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5.变焦:20倍光学变焦，10倍数码变焦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6.镜头转动</w:t>
            </w:r>
            <w:r>
              <w:rPr>
                <w:rFonts w:hint="eastAsia" w:asciiTheme="minorEastAsia" w:hAnsiTheme="minorEastAsia" w:cstheme="minorEastAsia"/>
                <w:i w:val="0"/>
                <w:iCs w:val="0"/>
                <w:color w:val="000000"/>
                <w:kern w:val="0"/>
                <w:sz w:val="24"/>
                <w:szCs w:val="24"/>
                <w:u w:val="none"/>
                <w:lang w:val="en-US" w:eastAsia="zh-CN" w:bidi="ar"/>
              </w:rPr>
              <w:t>范围</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:水平-170°～+170°俯仰-30°～+90°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7.聚焦: 自动/手动/一键聚焦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8.遥控器:中文遥控器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9.背光补偿:遥控器一键切换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10.调焦模式:手动/自动遥控器切换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11.图像亮度:遥控器可调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12.电子翻转:有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13.拍摄范围:A1画面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14.控制协议: VISCA/Pelco-D/Pelco-P；波特率：115200/9600/4800/2400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15.输入端子:VISCA*1RS422*1 RS485*1RS232*120.输出端子:HDMl*1US82.0*1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16.功耗:最大30W(DC12V时)22.操作温度:0~40℃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17.环境温度:-10-60℃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18.随机配件:AC电源适配器，R逐控器，操作说明书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t>19.需提供厂家售后服务承诺函原件（加盖厂家公章）。</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多媒体音箱</w:t>
            </w:r>
          </w:p>
        </w:tc>
        <w:tc>
          <w:tcPr>
            <w:tcW w:w="7890"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1.音箱系统 2.0声道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2.有源音箱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3.调节方式：调节形式后旋钮调节，遥控器调节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4.额定功率≥120W；≥24W×2（高音）+≥36W×2（低音）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5.频率响应≥55Hz-20KHz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6.扬声器单元≥5.25英寸+直径25mm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7.信噪比≥85dB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8.分离度≥45dB</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多媒体桌</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1、外型尺寸：1100*780*1000</w:t>
            </w:r>
            <w:r>
              <w:rPr>
                <w:rFonts w:hint="eastAsia" w:asciiTheme="minorEastAsia" w:hAnsiTheme="minorEastAsia" w:cstheme="minorEastAsia"/>
                <w:i w:val="0"/>
                <w:iCs w:val="0"/>
                <w:color w:val="000000"/>
                <w:kern w:val="0"/>
                <w:sz w:val="24"/>
                <w:szCs w:val="24"/>
                <w:u w:val="none"/>
                <w:lang w:val="en-US" w:eastAsia="zh-CN" w:bidi="ar"/>
              </w:rPr>
              <w:t>mm</w:t>
            </w:r>
            <w:r>
              <w:rPr>
                <w:rFonts w:hint="eastAsia" w:asciiTheme="minorEastAsia" w:hAnsiTheme="minorEastAsia" w:eastAsiaTheme="minorEastAsia" w:cstheme="minorEastAsia"/>
                <w:i w:val="0"/>
                <w:iCs w:val="0"/>
                <w:color w:val="000000"/>
                <w:kern w:val="0"/>
                <w:sz w:val="24"/>
                <w:szCs w:val="24"/>
                <w:u w:val="none"/>
                <w:lang w:val="en-US" w:eastAsia="zh-CN" w:bidi="ar"/>
              </w:rPr>
              <w:t>；上体部分1100*780*350mm（长*宽*高）；下体部分800*650*650mm（长*宽*高）。讲台选用冷轧钢板1.0-1.5mm，数控设备精加工制作。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2、讲台桌面采用木质材料，防静电处理。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3、讲桌桌体采用双开式柜门设计。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4、显示器采用翻转式设计，翻转角度为0-130度，键盘采用翻转式设计，其中采用不锈钢十字铰链，实物展台采用抽拉式设计，隐藏放置于讲桌内。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5、支持中控，主机，DVD，功放音箱，实物展台等安装。</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多媒体线材及辅料</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含高清线、音频线、电源线、网线、线槽及其他安装配件辅料等</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多媒体集成</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含多媒体设备布线、安装，大屏、黑板安装调试等</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台式计算机(核心产品）</w:t>
            </w:r>
          </w:p>
        </w:tc>
        <w:tc>
          <w:tcPr>
            <w:tcW w:w="7890" w:type="dxa"/>
            <w:shd w:val="clear" w:color="auto" w:fill="FFFFFF"/>
            <w:vAlign w:val="center"/>
          </w:tcPr>
          <w:p>
            <w:pPr>
              <w:numPr>
                <w:ilvl w:val="0"/>
                <w:numId w:val="0"/>
              </w:numPr>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国产电脑</w:t>
            </w:r>
          </w:p>
          <w:p>
            <w:pPr>
              <w:numPr>
                <w:ilvl w:val="0"/>
                <w:numId w:val="17"/>
              </w:numPr>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基本要求 国产自主品牌。</w:t>
            </w:r>
          </w:p>
          <w:p>
            <w:pPr>
              <w:numPr>
                <w:ilvl w:val="0"/>
                <w:numId w:val="17"/>
              </w:numPr>
              <w:ind w:left="0" w:leftChars="0" w:firstLine="0" w:firstLineChars="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处理器 兼容</w:t>
            </w:r>
            <w:r>
              <w:rPr>
                <w:rFonts w:hint="eastAsia" w:ascii="宋体" w:hAnsi="宋体" w:eastAsia="宋体" w:cs="宋体"/>
                <w:kern w:val="0"/>
                <w:sz w:val="24"/>
                <w:szCs w:val="24"/>
                <w:lang w:val="en-US" w:eastAsia="zh-CN"/>
                <w14:ligatures w14:val="none"/>
              </w:rPr>
              <w:t>X</w:t>
            </w:r>
            <w:r>
              <w:rPr>
                <w:rFonts w:hint="eastAsia" w:ascii="宋体" w:hAnsi="宋体" w:eastAsia="宋体" w:cs="宋体"/>
                <w:kern w:val="0"/>
                <w:sz w:val="24"/>
                <w:szCs w:val="24"/>
                <w14:ligatures w14:val="none"/>
              </w:rPr>
              <w:t>86 指令集</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14:ligatures w14:val="none"/>
              </w:rPr>
              <w:t>国产CPU，物理核心数≥8核，内核主频（非睿频）≥2.7GHz；</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lang w:val="en-US" w:eastAsia="zh-CN"/>
                <w14:ligatures w14:val="none"/>
              </w:rPr>
              <w:t>3</w:t>
            </w:r>
            <w:r>
              <w:rPr>
                <w:rFonts w:hint="eastAsia" w:ascii="宋体" w:hAnsi="宋体" w:eastAsia="宋体" w:cs="宋体"/>
                <w:kern w:val="0"/>
                <w:sz w:val="24"/>
                <w:szCs w:val="24"/>
                <w14:ligatures w14:val="none"/>
              </w:rPr>
              <w:t>、内存 ≥16GB DDR4 UDIMM内存，配置≥2个内存插槽；</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lang w:val="en-US" w:eastAsia="zh-CN"/>
                <w14:ligatures w14:val="none"/>
              </w:rPr>
              <w:t>4</w:t>
            </w:r>
            <w:r>
              <w:rPr>
                <w:rFonts w:hint="eastAsia" w:ascii="宋体" w:hAnsi="宋体" w:eastAsia="宋体" w:cs="宋体"/>
                <w:kern w:val="0"/>
                <w:sz w:val="24"/>
                <w:szCs w:val="24"/>
                <w14:ligatures w14:val="none"/>
              </w:rPr>
              <w:t>、显卡 ≥2G独立显卡，另支持集成显卡，支持VGA+HDMI视频输出显示，默认独显输出；</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lang w:val="en-US" w:eastAsia="zh-CN"/>
                <w14:ligatures w14:val="none"/>
              </w:rPr>
              <w:t>5</w:t>
            </w:r>
            <w:r>
              <w:rPr>
                <w:rFonts w:hint="eastAsia" w:ascii="宋体" w:hAnsi="宋体" w:eastAsia="宋体" w:cs="宋体"/>
                <w:kern w:val="0"/>
                <w:sz w:val="24"/>
                <w:szCs w:val="24"/>
                <w14:ligatures w14:val="none"/>
              </w:rPr>
              <w:t>、硬盘 ≥</w:t>
            </w:r>
            <w:r>
              <w:rPr>
                <w:rFonts w:hint="eastAsia" w:ascii="宋体" w:hAnsi="宋体" w:eastAsia="宋体" w:cs="宋体"/>
                <w:kern w:val="0"/>
                <w:sz w:val="24"/>
                <w:szCs w:val="24"/>
                <w:lang w:val="en-US" w:eastAsia="zh-CN"/>
                <w14:ligatures w14:val="none"/>
              </w:rPr>
              <w:t>256</w:t>
            </w:r>
            <w:r>
              <w:rPr>
                <w:rFonts w:hint="eastAsia" w:ascii="宋体" w:hAnsi="宋体" w:eastAsia="宋体" w:cs="宋体"/>
                <w:kern w:val="0"/>
                <w:sz w:val="24"/>
                <w:szCs w:val="24"/>
                <w14:ligatures w14:val="none"/>
              </w:rPr>
              <w:t xml:space="preserve"> GB M.2接口NVME协议SSD，配置1块3.5寸1T机械硬盘，≥5400 RPM；</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lang w:val="en-US" w:eastAsia="zh-CN"/>
                <w14:ligatures w14:val="none"/>
              </w:rPr>
              <w:t>6</w:t>
            </w:r>
            <w:r>
              <w:rPr>
                <w:rFonts w:hint="eastAsia" w:ascii="宋体" w:hAnsi="宋体" w:eastAsia="宋体" w:cs="宋体"/>
                <w:kern w:val="0"/>
                <w:sz w:val="24"/>
                <w:szCs w:val="24"/>
                <w14:ligatures w14:val="none"/>
              </w:rPr>
              <w:t>、网络 1个RJ45 10/100/1000自适应以太网口；</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lang w:val="en-US" w:eastAsia="zh-CN"/>
                <w14:ligatures w14:val="none"/>
              </w:rPr>
              <w:t>7</w:t>
            </w:r>
            <w:r>
              <w:rPr>
                <w:rFonts w:hint="eastAsia" w:ascii="宋体" w:hAnsi="宋体" w:eastAsia="宋体" w:cs="宋体"/>
                <w:kern w:val="0"/>
                <w:sz w:val="24"/>
                <w:szCs w:val="24"/>
                <w14:ligatures w14:val="none"/>
              </w:rPr>
              <w:t>、接口扩展  配置≥8个USB 接口，其中前置USB3.0</w:t>
            </w:r>
            <w:r>
              <w:rPr>
                <w:rFonts w:hint="eastAsia" w:ascii="宋体" w:hAnsi="宋体" w:eastAsia="宋体" w:cs="宋体"/>
                <w:kern w:val="0"/>
                <w:sz w:val="24"/>
                <w:szCs w:val="24"/>
                <w:lang w:eastAsia="zh-CN"/>
                <w14:ligatures w14:val="none"/>
              </w:rPr>
              <w:t>及以上接口不少于</w:t>
            </w:r>
            <w:r>
              <w:rPr>
                <w:rFonts w:hint="eastAsia" w:ascii="宋体" w:hAnsi="宋体" w:eastAsia="宋体" w:cs="宋体"/>
                <w:kern w:val="0"/>
                <w:sz w:val="24"/>
                <w:szCs w:val="24"/>
                <w:lang w:val="en-US" w:eastAsia="zh-CN"/>
                <w14:ligatures w14:val="none"/>
              </w:rPr>
              <w:t>4个</w:t>
            </w:r>
            <w:r>
              <w:rPr>
                <w:rFonts w:hint="eastAsia" w:ascii="宋体" w:hAnsi="宋体" w:eastAsia="宋体" w:cs="宋体"/>
                <w:kern w:val="0"/>
                <w:sz w:val="24"/>
                <w:szCs w:val="24"/>
                <w14:ligatures w14:val="none"/>
              </w:rPr>
              <w:t>；1个RJ45网口，1个HDMI接口，1个VGA接口，前置1组音频接口，后置1组音频接口；</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lang w:val="en-US" w:eastAsia="zh-CN"/>
                <w14:ligatures w14:val="none"/>
              </w:rPr>
              <w:t>8</w:t>
            </w:r>
            <w:r>
              <w:rPr>
                <w:rFonts w:hint="eastAsia" w:ascii="宋体" w:hAnsi="宋体" w:eastAsia="宋体" w:cs="宋体"/>
                <w:kern w:val="0"/>
                <w:sz w:val="24"/>
                <w:szCs w:val="24"/>
                <w14:ligatures w14:val="none"/>
              </w:rPr>
              <w:t xml:space="preserve">、易用性 </w:t>
            </w:r>
            <w:r>
              <w:rPr>
                <w:rFonts w:hint="eastAsia" w:ascii="宋体" w:hAnsi="宋体" w:eastAsia="宋体" w:cs="宋体"/>
                <w:kern w:val="0"/>
                <w:sz w:val="24"/>
                <w:szCs w:val="24"/>
                <w:lang w:val="en-US" w:eastAsia="zh-CN"/>
                <w14:ligatures w14:val="none"/>
              </w:rPr>
              <w:t>方便</w:t>
            </w:r>
            <w:r>
              <w:rPr>
                <w:rFonts w:hint="eastAsia" w:ascii="宋体" w:hAnsi="宋体" w:eastAsia="宋体" w:cs="宋体"/>
                <w:kern w:val="0"/>
                <w:sz w:val="24"/>
                <w:szCs w:val="24"/>
                <w14:ligatures w14:val="none"/>
              </w:rPr>
              <w:t>拆卸机箱；</w:t>
            </w:r>
            <w:r>
              <w:rPr>
                <w:rFonts w:ascii="宋体" w:hAnsi="宋体" w:eastAsia="宋体" w:cs="宋体"/>
                <w:color w:val="FF0000"/>
                <w:kern w:val="0"/>
                <w:sz w:val="24"/>
                <w:szCs w:val="24"/>
                <w14:ligatures w14:val="none"/>
              </w:rPr>
              <w:br w:type="textWrapping"/>
            </w:r>
            <w:r>
              <w:rPr>
                <w:rFonts w:hint="eastAsia" w:ascii="宋体" w:hAnsi="宋体" w:eastAsia="宋体" w:cs="宋体"/>
                <w:color w:val="auto"/>
                <w:kern w:val="0"/>
                <w:sz w:val="24"/>
                <w:szCs w:val="24"/>
                <w:lang w:val="en-US" w:eastAsia="zh-CN"/>
                <w14:ligatures w14:val="none"/>
              </w:rPr>
              <w:t>9</w:t>
            </w:r>
            <w:r>
              <w:rPr>
                <w:rFonts w:hint="eastAsia" w:ascii="宋体" w:hAnsi="宋体" w:eastAsia="宋体" w:cs="宋体"/>
                <w:kern w:val="0"/>
                <w:sz w:val="24"/>
                <w:szCs w:val="24"/>
                <w14:ligatures w14:val="none"/>
              </w:rPr>
              <w:t>、数据安全 支持出厂备份还原、全盘备份还原和分区备份还原等功能</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lang w:val="en-US" w:eastAsia="zh-CN"/>
                <w14:ligatures w14:val="none"/>
              </w:rPr>
              <w:t>10</w:t>
            </w:r>
            <w:r>
              <w:rPr>
                <w:rFonts w:hint="eastAsia" w:ascii="宋体" w:hAnsi="宋体" w:eastAsia="宋体" w:cs="宋体"/>
                <w:kern w:val="0"/>
                <w:sz w:val="24"/>
                <w:szCs w:val="24"/>
                <w14:ligatures w14:val="none"/>
              </w:rPr>
              <w:t>、质控水平 MTBF≥3</w:t>
            </w:r>
            <w:r>
              <w:rPr>
                <w:rFonts w:ascii="宋体" w:hAnsi="宋体" w:eastAsia="宋体" w:cs="宋体"/>
                <w:kern w:val="0"/>
                <w:sz w:val="24"/>
                <w:szCs w:val="24"/>
                <w14:ligatures w14:val="none"/>
              </w:rPr>
              <w:t>0</w:t>
            </w:r>
            <w:r>
              <w:rPr>
                <w:rFonts w:hint="eastAsia" w:ascii="宋体" w:hAnsi="宋体" w:eastAsia="宋体" w:cs="宋体"/>
                <w:kern w:val="0"/>
                <w:sz w:val="24"/>
                <w:szCs w:val="24"/>
                <w14:ligatures w14:val="none"/>
              </w:rPr>
              <w:t>000</w:t>
            </w:r>
            <w:r>
              <w:rPr>
                <w:rFonts w:hint="eastAsia" w:ascii="宋体" w:hAnsi="宋体" w:eastAsia="宋体" w:cs="宋体"/>
                <w:kern w:val="0"/>
                <w:sz w:val="24"/>
                <w:szCs w:val="24"/>
                <w:lang w:val="en-US" w:eastAsia="zh-CN"/>
                <w14:ligatures w14:val="none"/>
              </w:rPr>
              <w:t>0</w:t>
            </w:r>
            <w:r>
              <w:rPr>
                <w:rFonts w:hint="eastAsia" w:ascii="宋体" w:hAnsi="宋体" w:eastAsia="宋体" w:cs="宋体"/>
                <w:kern w:val="0"/>
                <w:sz w:val="24"/>
                <w:szCs w:val="24"/>
                <w14:ligatures w14:val="none"/>
              </w:rPr>
              <w:t>小时；</w:t>
            </w:r>
            <w:r>
              <w:rPr>
                <w:rFonts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w:t>
            </w:r>
            <w:r>
              <w:rPr>
                <w:rFonts w:hint="eastAsia" w:ascii="宋体" w:hAnsi="宋体" w:eastAsia="宋体" w:cs="宋体"/>
                <w:kern w:val="0"/>
                <w:sz w:val="24"/>
                <w:szCs w:val="24"/>
                <w:lang w:val="en-US" w:eastAsia="zh-CN"/>
                <w14:ligatures w14:val="none"/>
              </w:rPr>
              <w:t>1</w:t>
            </w:r>
            <w:r>
              <w:rPr>
                <w:rFonts w:hint="eastAsia" w:ascii="宋体" w:hAnsi="宋体" w:eastAsia="宋体" w:cs="宋体"/>
                <w:kern w:val="0"/>
                <w:sz w:val="24"/>
                <w:szCs w:val="24"/>
                <w14:ligatures w14:val="none"/>
              </w:rPr>
              <w:t>、显示器 支持壁挂，≥23.8寸，分辨率1920*1080，≥1个HDMI</w:t>
            </w:r>
            <w:r>
              <w:rPr>
                <w:rFonts w:hint="eastAsia" w:ascii="宋体" w:hAnsi="宋体" w:eastAsia="宋体" w:cs="宋体"/>
                <w:kern w:val="0"/>
                <w:sz w:val="24"/>
                <w:szCs w:val="24"/>
                <w:lang w:eastAsia="zh-CN"/>
                <w14:ligatures w14:val="none"/>
              </w:rPr>
              <w:t>及一其他接口</w:t>
            </w:r>
            <w:r>
              <w:rPr>
                <w:rFonts w:hint="eastAsia" w:ascii="宋体" w:hAnsi="宋体" w:eastAsia="宋体" w:cs="宋体"/>
                <w:kern w:val="0"/>
                <w:sz w:val="24"/>
                <w:szCs w:val="24"/>
                <w14:ligatures w14:val="none"/>
              </w:rPr>
              <w:t>，且接口在下方，刷新率≥60HZ，支持低蓝光；</w:t>
            </w:r>
            <w:r>
              <w:rPr>
                <w:rFonts w:hint="eastAsia" w:ascii="宋体" w:hAnsi="宋体" w:eastAsia="宋体" w:cs="宋体"/>
                <w:color w:val="FF0000"/>
                <w:kern w:val="0"/>
                <w:sz w:val="24"/>
                <w:szCs w:val="24"/>
                <w14:ligatures w14:val="none"/>
              </w:rPr>
              <w:br w:type="textWrapping"/>
            </w:r>
            <w:r>
              <w:rPr>
                <w:rFonts w:hint="eastAsia" w:ascii="宋体" w:hAnsi="宋体" w:eastAsia="宋体" w:cs="宋体"/>
                <w:kern w:val="0"/>
                <w:sz w:val="24"/>
                <w:szCs w:val="24"/>
                <w14:ligatures w14:val="none"/>
              </w:rPr>
              <w:t>1</w:t>
            </w:r>
            <w:r>
              <w:rPr>
                <w:rFonts w:hint="eastAsia" w:ascii="宋体" w:hAnsi="宋体" w:eastAsia="宋体" w:cs="宋体"/>
                <w:kern w:val="0"/>
                <w:sz w:val="24"/>
                <w:szCs w:val="24"/>
                <w:lang w:val="en-US" w:eastAsia="zh-CN"/>
                <w14:ligatures w14:val="none"/>
              </w:rPr>
              <w:t>2</w:t>
            </w:r>
            <w:r>
              <w:rPr>
                <w:rFonts w:hint="eastAsia" w:ascii="宋体" w:hAnsi="宋体" w:eastAsia="宋体" w:cs="宋体"/>
                <w:kern w:val="0"/>
                <w:sz w:val="24"/>
                <w:szCs w:val="24"/>
                <w14:ligatures w14:val="none"/>
              </w:rPr>
              <w:t>、键鼠 配置一套</w:t>
            </w:r>
            <w:r>
              <w:rPr>
                <w:rFonts w:hint="eastAsia" w:ascii="宋体" w:hAnsi="宋体" w:eastAsia="宋体" w:cs="宋体"/>
                <w:kern w:val="0"/>
                <w:sz w:val="24"/>
                <w:szCs w:val="24"/>
                <w:lang w:eastAsia="zh-CN"/>
                <w14:ligatures w14:val="none"/>
              </w:rPr>
              <w:t>原厂</w:t>
            </w:r>
            <w:r>
              <w:rPr>
                <w:rFonts w:hint="eastAsia" w:ascii="宋体" w:hAnsi="宋体" w:eastAsia="宋体" w:cs="宋体"/>
                <w:kern w:val="0"/>
                <w:sz w:val="24"/>
                <w:szCs w:val="24"/>
                <w14:ligatures w14:val="none"/>
              </w:rPr>
              <w:t>有线USB接口的键盘鼠标；</w:t>
            </w:r>
          </w:p>
          <w:p>
            <w:pPr>
              <w:numPr>
                <w:ilvl w:val="0"/>
                <w:numId w:val="0"/>
              </w:numPr>
              <w:ind w:leftChars="0"/>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13、</w:t>
            </w:r>
            <w:r>
              <w:rPr>
                <w:rFonts w:hint="eastAsia" w:asciiTheme="minorEastAsia" w:hAnsiTheme="minorEastAsia" w:eastAsiaTheme="minorEastAsia" w:cstheme="minorEastAsia"/>
                <w:i w:val="0"/>
                <w:iCs w:val="0"/>
                <w:color w:val="000000"/>
                <w:kern w:val="0"/>
                <w:sz w:val="24"/>
                <w:szCs w:val="24"/>
                <w:u w:val="none"/>
                <w:lang w:val="en-US" w:eastAsia="zh-CN" w:bidi="ar"/>
              </w:rPr>
              <w:t>需提供厂家售后服务承诺函原件（加盖厂家公章）。</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学生耳机</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基本参数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线长：2.8m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标称阻抗：32ohm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咪灵敏度：-38+/-3dB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连接器：USB-A插头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耳机灵敏度：91+/-3dB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音质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频响范围：20Hz~20KHz</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操作系统</w:t>
            </w:r>
          </w:p>
        </w:tc>
        <w:tc>
          <w:tcPr>
            <w:tcW w:w="7890" w:type="dxa"/>
            <w:shd w:val="clear" w:color="auto" w:fill="FFFFFF"/>
            <w:vAlign w:val="top"/>
          </w:tcPr>
          <w:p>
            <w:pPr>
              <w:keepNext w:val="0"/>
              <w:keepLines w:val="0"/>
              <w:widowControl/>
              <w:suppressLineNumbers w:val="0"/>
              <w:jc w:val="left"/>
              <w:textAlignment w:val="top"/>
              <w:rPr>
                <w:rFonts w:hint="default"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cstheme="minorEastAsia"/>
                <w:kern w:val="0"/>
                <w:sz w:val="24"/>
                <w:szCs w:val="24"/>
                <w:lang w:val="en-US" w:eastAsia="zh-CN"/>
                <w14:ligatures w14:val="none"/>
              </w:rPr>
              <w:t>国产操作系统</w:t>
            </w:r>
          </w:p>
          <w:p>
            <w:pPr>
              <w:keepNext w:val="0"/>
              <w:keepLines w:val="0"/>
              <w:widowControl/>
              <w:suppressLineNumbers w:val="0"/>
              <w:jc w:val="left"/>
              <w:textAlignment w:val="top"/>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14:ligatures w14:val="none"/>
              </w:rPr>
              <w:t>1、操作系统软件具有应用商店，应用商店可提供教育行业应用商店，可提供系统截图证明；</w:t>
            </w:r>
          </w:p>
          <w:p>
            <w:pPr>
              <w:keepNext w:val="0"/>
              <w:keepLines w:val="0"/>
              <w:widowControl/>
              <w:suppressLineNumbers w:val="0"/>
              <w:jc w:val="left"/>
              <w:textAlignment w:val="top"/>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14:ligatures w14:val="none"/>
              </w:rPr>
              <w:t>2、操作系统软件默认安装操作系统原厂青少年上网保护插件，对低俗垃圾广告拦截、不良内容拦截、跨网站跟踪用户信息链接。需提供系统截图证明与青少年上网保护软件著作登记证书。</w:t>
            </w:r>
          </w:p>
          <w:p>
            <w:pPr>
              <w:keepNext w:val="0"/>
              <w:keepLines w:val="0"/>
              <w:widowControl/>
              <w:suppressLineNumbers w:val="0"/>
              <w:jc w:val="left"/>
              <w:textAlignment w:val="top"/>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14:ligatures w14:val="none"/>
              </w:rPr>
              <w:t>3、智能上网保护：支持在线网页中低俗广告拦截、支持在线网页中性感图片、性感视频拦截、支持在线查阅广告拦截统计、不良内容拦截统计、支持在线对网上有害信息举报</w:t>
            </w:r>
          </w:p>
          <w:p>
            <w:pPr>
              <w:keepNext w:val="0"/>
              <w:keepLines w:val="0"/>
              <w:widowControl/>
              <w:suppressLineNumbers w:val="0"/>
              <w:jc w:val="left"/>
              <w:textAlignment w:val="top"/>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14:ligatures w14:val="none"/>
              </w:rPr>
              <w:t>4、智能护眼健康：提供专业眼保健操视频、提供护眼屏保、提供护眼色温调节、提供休息提醒</w:t>
            </w:r>
          </w:p>
          <w:p>
            <w:pPr>
              <w:keepNext w:val="0"/>
              <w:keepLines w:val="0"/>
              <w:widowControl/>
              <w:suppressLineNumbers w:val="0"/>
              <w:jc w:val="left"/>
              <w:textAlignment w:val="top"/>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14:ligatures w14:val="none"/>
              </w:rPr>
              <w:t>5、AI智能助手：系统集成AI功能，支持主流国产AI大模型，包括百度千帆、讯飞星火、360智脑与智谱等。支持使用文字或者语音输入的方式多模态的输入与输出。支持通过AI进行问答和内容生成，解决疑问解答、语言学习、创意写作等具体问题，助力高效学习和工作。</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kern w:val="0"/>
                <w:sz w:val="24"/>
                <w:szCs w:val="24"/>
                <w14:ligatures w14:val="none"/>
              </w:rPr>
              <w:t>6、操作系统系统支持保障安全升级的自动主备双根分区以及备份分区，并且在系统中有双根分区和备份分区标识（如：RootA和RootB、Recovery/Backup标识符），在系统升级后支持回滚、备份还原，并保留用户个人数据，提供功能截图证明。</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办公软件</w:t>
            </w:r>
          </w:p>
        </w:tc>
        <w:tc>
          <w:tcPr>
            <w:tcW w:w="7890"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kern w:val="0"/>
                <w:sz w:val="24"/>
                <w:szCs w:val="24"/>
                <w14:ligatures w14:val="none"/>
              </w:rPr>
              <w:t>1、操作习惯兼容：软件界面与微软office界面在菜单排布和功能界面的操作使用上保持相似；</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2、界面样式多样性：支持窗口多组件/整合模式，支持进行单窗口多标签的拆分与组合，在多窗口模式下支持在系统任务栏显示多主窗口；</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3、支持主题外观皮肤选择；</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4、具备文字、表格、演示各组建基础模板，便于教职工编辑文档直接使用；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5、支持在表格中一键插入求和、计数、平均值等常用函数公式。支持多列数据合并操作。支持单元格数据的循环引用；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6、文字、表格、演示模块均支持图形、图片对象各类属性的即时预览，如图形填充色、线条样式、线条粗细、线条虚实、箭头样式及阴影、映像、发光效果的即时预览；</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7、演示模块插入音频视频文件后在本应用中即可播放多媒体文件，无需调用其他播放软件，并且提供多种播放模式供选择。</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8、在文字、演示模块，中选择插入表格操作时，浮框支持即时预览插入效果；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9、在文字模块，右键插入行数的手动输入，便于一次性插入多行；</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10、在演示模块，表格可以选择表格样式，选择样式即可预览样式效果；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11、表格模块中支持数据自动生成柱形图、折线图、饼状图、条形图、面积图、xy散点图、股价图、雷达图、组合图等形式，各种类型之间可方便转换。支持图表定位到单元格中；</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12、格式兼容性：办公软件能生成.wps/.et/.dps等文件格式。双向兼容：各功能模块与微软 Office的Word、Excel、Powerpoint 三个功能模块相互兼容，支持格式包括且不限于 doc、docx、xls、xlsx、ppt、pptx、pdf、txt、xml。</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13、支持档修复：需支持修复打不开或损坏的文档，文档格式需支持Word/Excel/PPT/非纯图的PDF等；</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14、文字模块支持智能目录导航，自动识别文档结构，实时调整文档目录；标题格式不用调整样式，也可智能自动生成目录；</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15、表格模块支持表格的快速合并选择，支持教师一键选择合并居中、合并单元格、合并相同单元格、合并内容、取消合并单元格、拆分并填充内容；</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16、演示模块，支持手机移动OFFICE客户端进行控制PC端OFFICE放映的演示文档，实现把手机变成遥控器，便于演讲人能随时切换演示文档。</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桌面云管理系统</w:t>
            </w:r>
          </w:p>
        </w:tc>
        <w:tc>
          <w:tcPr>
            <w:tcW w:w="7890" w:type="dxa"/>
            <w:shd w:val="clear" w:color="auto" w:fill="FFFFFF"/>
            <w:vAlign w:val="top"/>
          </w:tcPr>
          <w:p>
            <w:pPr>
              <w:keepNext w:val="0"/>
              <w:keepLines w:val="0"/>
              <w:widowControl/>
              <w:numPr>
                <w:ilvl w:val="0"/>
                <w:numId w:val="18"/>
              </w:numPr>
              <w:suppressLineNumbers w:val="0"/>
              <w:jc w:val="left"/>
              <w:textAlignment w:val="top"/>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管理软件为B/S架构，全中文图形化管理界面，服务器支持端口映射、DMZ等方式访问，支持现有网络环境下的跨网段、跨路由管理，在跨网段、跨路由的环境中，不需要增加任何硬件设备和调整网络设置。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2、采用中央服务器管理模式，服务端支持主流的国产硬件平台和国产操作系统（UOS、kylin等），通过一台服务器管理不同品牌、不同架构的终端和主流操作系统。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3、管理系统可以统计终端用户数量、终端数量、虚拟磁盘数量和镜像数量等信息，同时可以统计服务器信息、CPU、内存及硬盘的使用率.</w:t>
            </w:r>
          </w:p>
          <w:p>
            <w:pPr>
              <w:keepNext w:val="0"/>
              <w:keepLines w:val="0"/>
              <w:widowControl/>
              <w:numPr>
                <w:ilvl w:val="0"/>
                <w:numId w:val="19"/>
              </w:numPr>
              <w:suppressLineNumbers w:val="0"/>
              <w:jc w:val="left"/>
              <w:textAlignment w:val="top"/>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系统服务端集成不同硬件架构的底层系统、客户端程序及数据库导入导出工具等，维护人员根据需求可以直接从服务端进行下载，无需找原始安装文件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5、具有独立的前端可视化管理平台，并且只有执行权限，管理员可以根据需求，提前设定好的指令和策略的操作模块，减少一线操作员的误操作几率的发生。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6、系统采用自主可控的底层维护通道技术，部署时不受网络架构及网络环境的限制，支持有线、无线、4G、5G等多种部署方式。</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7、在受保护的系统或分区中，可以自定义某个文件夹内的所有内容，不进行还原，即保护了系统，也可以对一些特殊的应用程序特有的属性进行独立保护。</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机房互动软件</w:t>
            </w:r>
          </w:p>
        </w:tc>
        <w:tc>
          <w:tcPr>
            <w:tcW w:w="7890" w:type="dxa"/>
            <w:shd w:val="clear" w:color="auto" w:fill="FFFFFF"/>
            <w:vAlign w:val="center"/>
          </w:tcPr>
          <w:p>
            <w:pPr>
              <w:widowControl/>
              <w:numPr>
                <w:ilvl w:val="0"/>
                <w:numId w:val="20"/>
              </w:numPr>
              <w:jc w:val="left"/>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14:ligatures w14:val="none"/>
              </w:rPr>
              <w:t>共享白板：系统支持导入图片创建白板内容，将白板内容共享给学生，教师可以选择某个学生控制老师的白板内容实现共同交互答题。教师也可以允许学生个人绘画模式在老师导入的素材白板内容基础上独立完成学习任务，教师可以监看所有学生的完成情况，同时可以把指定学生绘画的白板内容分享给其他同学欣赏。</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2、支持loongnix、UOS、Kylin、方德操作系统。</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3、试卷编辑：教师可通过答题卡编辑器插入图片，直接生成答题卡用于学生作答，试题类型包含选择题、判断题、填空题、论述题和手写题。教师可在答题卡中为客观题设置正确答案，为主观题设置参考答案。</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4、快速考试：教师可使用快速答题卡用于学生作答，输入考试名称、考试时间、试题类型、试题数量和试题分数即可快速发起考试，试题类型包含选择题、判断题、填空题、论述题和手写题。</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5、自定义考试：教师可使用自定义答题卡，将通过答题卡编辑器创建的答题卡导入试卷，分发给学生即可开始考试。开始考试后，教师可查看学生的答题进度。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6、阅卷评分：考试结束后自动弹出评分界面，客观题可自动评分，教师只需对主观题进行手动评分，支持将考试评分结果发送给相应的学生，并支持将考试评分结果以网页形式导出到本地。</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w:t>
            </w:r>
            <w:r>
              <w:rPr>
                <w:rFonts w:hint="eastAsia" w:asciiTheme="minorEastAsia" w:hAnsiTheme="minorEastAsia" w:eastAsiaTheme="minorEastAsia" w:cstheme="minorEastAsia"/>
                <w:kern w:val="0"/>
                <w:sz w:val="24"/>
                <w:szCs w:val="24"/>
                <w:lang w:val="en-US" w:eastAsia="zh-CN"/>
                <w14:ligatures w14:val="none"/>
              </w:rPr>
              <w:t>#</w:t>
            </w:r>
            <w:r>
              <w:rPr>
                <w:rFonts w:hint="eastAsia" w:asciiTheme="minorEastAsia" w:hAnsiTheme="minorEastAsia" w:eastAsiaTheme="minorEastAsia" w:cstheme="minorEastAsia"/>
                <w:kern w:val="0"/>
                <w:sz w:val="24"/>
                <w:szCs w:val="24"/>
                <w14:ligatures w14:val="none"/>
              </w:rPr>
              <w:t>抢答和竞答：组织全体或分组的快速抢答问题，有抢答口述回复、抢答文字回复、抢答屏幕转播回复三种方式，抢答对错后老师可以选择五角星+数字的方式给予学生相应奖励结果，并可根据题目的难易程度给出不同的分值，竞赛支持同一小组内排名（提供功能截图并加盖</w:t>
            </w:r>
            <w:r>
              <w:rPr>
                <w:rFonts w:hint="eastAsia" w:asciiTheme="minorEastAsia" w:hAnsiTheme="minorEastAsia" w:eastAsia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8、扩展屏广播模式：教师机连接两个显示器，可在广播时选择将任意一个显示器的内容广播到学生机。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网络影院：采用流媒体技术，可实现教师机播放的视频同步无延时广播到学生机，学生无需下载该文件，教师也无需共享该文件。支持VCD、DVD、AVI等主流文件格式，支持720p、1080p高清视频。网络快照：教师可以在监控学生的时候，对学生画面拍快照或者录制，保存学生画面的截图或桌面视频。</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10、签到：提供学生名单管理工具，为软件和考试模块提供实名验证。提供点名功能，支持保留学生多次登录记录、考勤统计、签到信息的导出与对比，支持csv 格式的导出。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11、分组讨论：可以进行教师将学生分组，同组的组员可以相互讨论，教师可以参加任意组的讨论。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12、文件分发：允许教师将教师机不同盘符中的目录或文件一起发送至生机的某目录下。目录不存在自动新建此目录；盘符不存在或路径非法不允许分发；文件已存在选择自动覆盖或保留原始文件。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13、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14、自动锁屏：独有的断线保护自动锁屏技术，通过网卡的是否激活来锁定屏幕，避免学生拔掉网线违反纪律。</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15、防杀进程：为安全起见，学生端程序运行后，防止学生通过任务管理器结束学生端程序进程来逃脱教师控制。</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16、请求帮助：学生端遇到问题可请求帮助，教师端可远程遥控帮助学生解决问题。</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17、远程消息：教师与学生能够使用远程消息进行交流，并可以允许和阻止学生发送文字消息。</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18、黑屏肃静：教师可以对单一、部分、全体学生执行或解除黑屏操作，教师可自定义黑屏的内容与图片。</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19、键鼠禁用：教师可以对单一、部分、全体学生禁用键鼠操作，禁用时学生端鼠标和键盘被锁定，学生无法进行任何操作。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20、远程命令：教师可进行远程打开网页、开机、关机、重启、关闭应用程序等操作。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#21、视图模式：软件提供监控视图、详细信息视图、策略视图、文件提交视图、答题卡视图、抢答竞赛视图、共享白板视图。（厂家提供CSTC标识的软件评测中心检测报告并加盖</w:t>
            </w:r>
            <w:r>
              <w:rPr>
                <w:rFonts w:hint="eastAsia" w:asciiTheme="minorEastAsia" w:hAnsi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22、另具备屏幕广播、学生演示、网络影院、远程开关机、远程命令、屏幕监看、举手、发言、防杀进程、黑屏肃静、文件分发、文件收集等功能。</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#23、加密方式：系统可进行在线序列号加密和离线文件加密。（厂家提供CSTC标识的软件评测中心检测报告并加盖</w:t>
            </w:r>
            <w:r>
              <w:rPr>
                <w:rFonts w:hint="eastAsia" w:asciiTheme="minorEastAsia" w:hAnsi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24、多教室同时授课时系统登录支持学生端选择在线的任意老师端进入授课方式。</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14:ligatures w14:val="none"/>
              </w:rPr>
              <w:t>#</w:t>
            </w:r>
            <w:r>
              <w:rPr>
                <w:rFonts w:hint="eastAsia" w:asciiTheme="minorEastAsia" w:hAnsiTheme="minorEastAsia" w:eastAsiaTheme="minorEastAsia" w:cstheme="minorEastAsia"/>
                <w:kern w:val="0"/>
                <w:sz w:val="24"/>
                <w:szCs w:val="24"/>
                <w14:ligatures w14:val="none"/>
              </w:rPr>
              <w:t>25、客户端策略限制：具有客户端自行断网后自动启用断网锁屏功能、主控端通过黑白名单功能开启网页限制功能、主控端还可以开启对学生电脑的U盘限制功能。</w:t>
            </w:r>
            <w:r>
              <w:rPr>
                <w:rFonts w:hint="eastAsia" w:asciiTheme="minorEastAsia" w:hAnsiTheme="minorEastAsia" w:cstheme="minorEastAsia"/>
                <w:kern w:val="0"/>
                <w:sz w:val="24"/>
                <w:szCs w:val="24"/>
                <w:lang w:eastAsia="zh-CN"/>
                <w14:ligatures w14:val="none"/>
              </w:rPr>
              <w:t>（</w:t>
            </w:r>
            <w:r>
              <w:rPr>
                <w:rFonts w:hint="eastAsia" w:asciiTheme="minorEastAsia" w:hAnsiTheme="minorEastAsia" w:cstheme="minorEastAsia"/>
                <w:kern w:val="0"/>
                <w:sz w:val="24"/>
                <w:szCs w:val="24"/>
                <w:lang w:val="en-US" w:eastAsia="zh-CN"/>
                <w14:ligatures w14:val="none"/>
              </w:rPr>
              <w:t>厂家提供功能截图并加盖生产厂家公章）</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kern w:val="0"/>
                <w:sz w:val="24"/>
                <w:szCs w:val="24"/>
                <w:lang w:val="en-US" w:eastAsia="zh-CN"/>
                <w14:ligatures w14:val="none"/>
              </w:rPr>
              <w:t>2</w:t>
            </w:r>
            <w:r>
              <w:rPr>
                <w:rFonts w:hint="eastAsia" w:asciiTheme="minorEastAsia" w:hAnsiTheme="minorEastAsia" w:cstheme="minorEastAsia"/>
                <w:kern w:val="0"/>
                <w:sz w:val="24"/>
                <w:szCs w:val="24"/>
                <w:lang w:val="en-US" w:eastAsia="zh-CN"/>
                <w14:ligatures w14:val="none"/>
              </w:rPr>
              <w:t>6</w:t>
            </w:r>
            <w:r>
              <w:rPr>
                <w:rFonts w:hint="eastAsia" w:asciiTheme="minorEastAsia" w:hAnsiTheme="minorEastAsia" w:eastAsiaTheme="minorEastAsia" w:cstheme="minorEastAsia"/>
                <w:kern w:val="0"/>
                <w:sz w:val="24"/>
                <w:szCs w:val="24"/>
                <w:lang w:val="en-US" w:eastAsia="zh-CN"/>
                <w14:ligatures w14:val="none"/>
              </w:rPr>
              <w:t>、</w:t>
            </w:r>
            <w:r>
              <w:rPr>
                <w:rFonts w:hint="eastAsia" w:asciiTheme="minorEastAsia" w:hAnsiTheme="minorEastAsia" w:eastAsiaTheme="minorEastAsia" w:cstheme="minorEastAsia"/>
                <w:kern w:val="0"/>
                <w:sz w:val="24"/>
                <w:szCs w:val="24"/>
                <w14:ligatures w14:val="none"/>
              </w:rPr>
              <w:t>系统具有CSTC软件评测中心的“软件产品检测报告”。</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学生凳</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规格：340×240×440mm，钢木结构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凳面：采用E1级25mm厚三聚氰胺板,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框架采用25×25×1.0mm 方管。经过除油、酸洗、磷化、打磨、静电喷塑。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封边：截面采用PVC封条机械封边.</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交换机</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1.支持48个10/100/1000BASE-T电口,支持4个1000BASE-X SFP端口,支持AC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2.交换容量：496Gbps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3.包转发率：126Mpps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4.支持G.8032以太网环保护协议ERPS，切换时间≤50ms，可兼容其他支持该协议的产品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5.支持SNMP、支持RMON告警、事件、历史记录、支持iMC网管系统、支持NTP、支持命令行接口（CLI）配置、支持SSH2.0、支持FTP、支持TFTP</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6.端口防雷：10Kv</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网线</w:t>
            </w:r>
          </w:p>
        </w:tc>
        <w:tc>
          <w:tcPr>
            <w:tcW w:w="7890"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六类非屏蔽双绞线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材质：OFC/PVC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线芯：23AWG纯铜芯</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网络配线架</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端口：≥24口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重量：≥0.89kg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插拔：≥750次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端接：≥250次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尺寸：≥480mm*44.5mm</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网络理线器</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产品材质：spcc冷轧钢板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端口：≥24口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工艺：锻压、粉末电镀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颜色：黑色</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网络跳线</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传输带宽：≥250MHz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传输速度：≥1000Mbps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外被：环保PVC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接口：镀金接口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线芯：24AWG 导体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隔离：十字骨架</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水晶头</w:t>
            </w:r>
          </w:p>
        </w:tc>
        <w:tc>
          <w:tcPr>
            <w:tcW w:w="7890"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材质：环保PC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接触铜片：三叉芯片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网络标准：千兆网络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接口类型：RJ45</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电源线</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规格：BV4mm²</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绝缘层：PVC 抗老化，耐腐蚀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导体：无氧铜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电压：≥450/750V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长度：≥100米</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桥架</w:t>
            </w:r>
          </w:p>
        </w:tc>
        <w:tc>
          <w:tcPr>
            <w:tcW w:w="7890"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产品材质：镀锌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尺寸：≥100*200mm</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镀锌管</w:t>
            </w:r>
          </w:p>
        </w:tc>
        <w:tc>
          <w:tcPr>
            <w:tcW w:w="7890"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25镀锌管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制造工艺：折弯、烧焊、打磨等工艺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光滑度高、厚度均匀、性能稳定。</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78</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86插座含底盒</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6孔10A含底盒</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插线板</w:t>
            </w:r>
          </w:p>
        </w:tc>
        <w:tc>
          <w:tcPr>
            <w:tcW w:w="7890"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6插位抗电涌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尺寸：≥250mm*98mm*39.6mm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最大电流：≥10A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额定电压：≥250V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功率：≥2500W</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防静电地板</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规格：≥600mm*600mm*35mm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材质：陶瓷面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采用 一级冷轧钢板拉伸成型点焊，上层采用冷轧钢板，下层采用 抗拉钢板冲压形成，两层经过冲压形成钢壳，钢壳内填充发泡水泥；表面采用耐磨防静电陶瓷面，四周镶嵌导电条。</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68.4</w:t>
            </w:r>
          </w:p>
        </w:tc>
        <w:tc>
          <w:tcPr>
            <w:tcW w:w="570" w:type="dxa"/>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防静电地板配件</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地板支柱配件、包边、包角等</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68.4</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地板安装</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防静电地板安装敷设</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68.4</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设备拆除</w:t>
            </w:r>
          </w:p>
        </w:tc>
        <w:tc>
          <w:tcPr>
            <w:tcW w:w="7890"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旧设备拆除搬运到指定地点</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利旧学生桌检修</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利旧学生桌的导轨更换、各部位维修、清洁</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辅料</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含软管、打标纸、自攻钉、胶布、胀栓、接地端子、管卡子安装等</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机房综合布线</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含电源、网络桥架敷设、电源线、网线敷设，电源空开维护</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5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7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机房系统集成</w:t>
            </w:r>
          </w:p>
        </w:tc>
        <w:tc>
          <w:tcPr>
            <w:tcW w:w="7890"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含电脑安装调试、网络调试、机房配套软件调试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含从楼道总配电至教室内配电。</w:t>
            </w:r>
          </w:p>
        </w:tc>
        <w:tc>
          <w:tcPr>
            <w:tcW w:w="54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70"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bl>
    <w:p>
      <w:pPr>
        <w:pStyle w:val="2"/>
        <w:ind w:left="0" w:leftChars="0" w:firstLine="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第二包：景山学校远洋分校计算机教室</w:t>
      </w:r>
    </w:p>
    <w:tbl>
      <w:tblPr>
        <w:tblStyle w:val="31"/>
        <w:tblW w:w="10470" w:type="dxa"/>
        <w:tblInd w:w="-79" w:type="dxa"/>
        <w:tblLayout w:type="fixed"/>
        <w:tblCellMar>
          <w:top w:w="0" w:type="dxa"/>
          <w:left w:w="108" w:type="dxa"/>
          <w:bottom w:w="0" w:type="dxa"/>
          <w:right w:w="108" w:type="dxa"/>
        </w:tblCellMar>
      </w:tblPr>
      <w:tblGrid>
        <w:gridCol w:w="519"/>
        <w:gridCol w:w="784"/>
        <w:gridCol w:w="8117"/>
        <w:gridCol w:w="525"/>
        <w:gridCol w:w="525"/>
      </w:tblGrid>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宋体" w:hAnsi="宋体" w:eastAsia="宋体" w:cs="宋体"/>
                <w:i w:val="0"/>
                <w:iCs w:val="0"/>
                <w:color w:val="000000"/>
                <w:kern w:val="0"/>
                <w:sz w:val="24"/>
                <w:szCs w:val="24"/>
                <w:u w:val="none"/>
                <w:lang w:val="en-US" w:eastAsia="zh-CN" w:bidi="ar"/>
              </w:rPr>
              <w:t>主要规格参数、主要功能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r>
      <w:tr>
        <w:tblPrEx>
          <w:tblLayout w:type="fixed"/>
          <w:tblCellMar>
            <w:top w:w="0" w:type="dxa"/>
            <w:left w:w="108" w:type="dxa"/>
            <w:bottom w:w="0" w:type="dxa"/>
            <w:right w:w="108" w:type="dxa"/>
          </w:tblCellMar>
        </w:tblPrEx>
        <w:trPr>
          <w:trHeight w:val="53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触控一体机</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一、整机硬件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整机显示尺寸≧86英寸，分辨率≥3840*2160，采用红外触控技术，在双系统下均支持≥40点同时触控；</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整机表面钢化玻璃厚度≤3.2mm，硬度可达莫氏7级；</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#整机前置标配HDMI输入≥1路, USB≥2路，Type-C≥1路，具有中文标识,后置标配VGA输入≥1路，HDMI输入≥2路，HDMI输出≥1路（提供截图，照片等证明文件并加盖投标人公章）；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整机具有通屏笔槽结构，可放置书写笔、粉笔、水性笔等。</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#整机前置中文按键≥7个，可实现音量加减、窗口关闭、触控开关等功能，且按键均具备两种及以上明确的功能,具备前置针孔式电脑还原按键，并配有中文标识（提供截图，照片等证明文件并加盖投标人公章）；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整机内置Wi-Fi6无线网卡，内置AP无线热点发射，内置蓝牙Bluetooth 5.4模块，支持连接外部蓝牙音箱播放音频；</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#无需打开整机背板，前置接口面板和前置按键面板支持单独前拆（提供第三方机构出具的相关检测报告复印件，并加盖投标人公章）；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前置U盘接口需采用隐藏式设计，具有翻转式防护盖板，盖板高度≥4cm，盖板开合角度≥100°；</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整机扬声器功率≥60W；</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#整机具备≥12核芯片驱动， Android 系统版本≥14.0，内存≥8G，存储≥64G（提供截图，照片等证明文件并加盖投标人公章）；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#内置高清5K摄像头，有效像素≥1900W，可输出最大分辨率5104*3864（提供第三方机构出具的相关检测报告复印件，并加盖投标人公章）；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整机采用OPS-C 标准的80pin针口设计；</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二、教学软件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提供符合教师授课场景的教学桌面教学系统,可将教师授课常用应用放至主页，单击即可打开应用，方便教师快捷调用软件；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#应用页面采用分类模块显示，至少包含课件制作、教学工具、管理辅助、数字资源等，方便教师快速找到相应应用（提供截图，照片等证明文件并加盖投标人公章）；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#教学软件支持多种登录方式，包含不局限于U盘登录、账号密码直接登录、微信扫码登录、手机验证码快捷登录、书写登录等，支持免登录打开本地课件（提供截图，照片等证明文件并加盖厂家公章）；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软件提供个人云盘存储功能，注册即免费获取不少于50GB云端存储空间；</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提供预置的课件素材，允许老师在网页端、移动端、电脑端进行内容的选择与组合，快速生成课件并浏览，所有制作的课件均实时保存至云端，老师只需登录即可查看；</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提供模块化的课件素材和教案，学科涵盖小学语文、初中语文、小学数学、初中数学、高中数学、小学英语、初中英语、小学科学、初中物理、初中化学等学科;</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提供语文生字卡片、英语生词卡片、化学工具编辑器、数学工具编辑器、物理仿真实验、英文手写识别等学课工具；</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双侧快捷键授课状态下具备多个教学辅助工具，包含截图、时钟、放大镜、聚光灯、黑屏、随机数、骰子和大转盘8种；</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软件在授课模式状态下支持多种笔形，颜色选择，笔形不少于9种，颜色不少于5种；</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支持免登录打开离线课件，直接进入课件全屏播放状态；登录后，可返回备课编辑状态；</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内置黑板贴功能，可实现屏幕截图，实时语文、数学、外语、值日、通知等学科分类任务预留，截图操作灵活方便，支持手势拖拽边框缩放大小，可选择区域显示范围（提供截图，照片等证明文件并加盖投标人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r>
      <w:tr>
        <w:tblPrEx>
          <w:tblLayout w:type="fixed"/>
          <w:tblCellMar>
            <w:top w:w="0" w:type="dxa"/>
            <w:left w:w="108" w:type="dxa"/>
            <w:bottom w:w="0" w:type="dxa"/>
            <w:right w:w="108" w:type="dxa"/>
          </w:tblCellMar>
        </w:tblPrEx>
        <w:trPr>
          <w:trHeight w:val="813"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推拉绿板</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14:ligatures w14:val="none"/>
              </w:rPr>
              <w:t>1、 结构：双层结构，内层为固定书写板，外层为滑动书写板，支持电子产品居中或一侧放置。</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w:t>
            </w:r>
            <w:r>
              <w:rPr>
                <w:rFonts w:hint="eastAsia" w:asciiTheme="minorEastAsia" w:hAnsiTheme="minorEastAsia" w:eastAsiaTheme="minorEastAsia" w:cstheme="minorEastAsia"/>
                <w:sz w:val="24"/>
                <w:szCs w:val="24"/>
              </w:rPr>
              <w:t>参考规格≥：1300mm*4000mm</w:t>
            </w:r>
            <w:r>
              <w:rPr>
                <w:rFonts w:hint="eastAsia" w:asciiTheme="minorEastAsia" w:hAnsiTheme="minorEastAsia" w:eastAsiaTheme="minorEastAsia" w:cstheme="minorEastAsia"/>
                <w:kern w:val="0"/>
                <w:sz w:val="24"/>
                <w:szCs w:val="24"/>
                <w14:ligatures w14:val="none"/>
              </w:rPr>
              <w:t>，高度可根据所配电子产品适当调整，确保与电子产品有效配套。</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 板面：采用金属搪瓷书写板面，亚光、墨绿色，没有因黑板本身原因产生的眩光，书写流畅字迹清晰、色彩协调可视效果佳，有效的缓解学生视觉疲劳。可吸附磁钉、磁片，便于教学。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 背板：采用优质镀锌钢板，机械化流水线一次成型。</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 覆板：采用自动化流水线覆板作业，避免人工作业刷胶不均导致粘贴不牢、起鼓等现象。甲醛释放量≤0.2mg/L，符合GB 28231-2011《书写板安全卫生要求》。</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边框：采用高强度香槟色电泳铝合金型材，横框规格≥57mm×78mm，立框规格≥29mm×100mm。轨道上置隐藏式滑动系统，杜绝灰尘及杂物进入，结构性解决滑动受灰尘影响的问题。边框应具有良好的耐磨性及耐腐蚀性，耐腐蚀性CASS 72H不得低于10级。</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粉尘槽：应配有宽度≥30mm的粉尘槽，粉尘槽应与滑动系统分离，不影响滑动板滑动。可放置书写笔、教鞭等教具，也可用于灰尘集中处理；粉尘槽采用U型结构以便于承载粉笔末等，应避免使用L型等开放式结构。粉尘槽应与边框一体式设计，以增加强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包角：采用抗老化高强度ABS工程塑料注塑成型，采用双壁成腔流线型设计，教学书写板品牌标识与包角一次模具成型，无尖角毛刺。当搭配电子产品为液晶屏时，包角应做可部分掰除设计，以更好的适配液晶屏厚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9、限位档：横框内部两侧安装限位档，避免滑动板推拉过程中撞击立框及夹手，禁止安装于立框。</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10、滑轮：双组高精度轴承上吊轮，下平滑动系统，上下均匀安装，上部滑轮应采用包胶轮以减少噪音，下部设有滑块，滑块应做前后方向弹性设计以降低教学书写板书写颤动。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11、安全性：滑动板配装锁具，当不使用电子产品时，应可对教学书写板进行锁闭，避免课间学生误操作并保护设备。一把锁实现对滑动教学书写板的锁定，钥匙通用，方便实用。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r>
      <w:tr>
        <w:tblPrEx>
          <w:tblLayout w:type="fixed"/>
          <w:tblCellMar>
            <w:top w:w="0" w:type="dxa"/>
            <w:left w:w="108" w:type="dxa"/>
            <w:bottom w:w="0" w:type="dxa"/>
            <w:right w:w="108" w:type="dxa"/>
          </w:tblCellMar>
        </w:tblPrEx>
        <w:trPr>
          <w:trHeight w:val="425"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吸顶展台</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1.成像设备: 1/2.8英寸高品质CMOS传感器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2.总像素:500万最大分辨率≥1920x1080，输出帧率≥60帧/秒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3.视频输出:1080p60/50,1080i60/50,1080p30/25,720p60/50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4.输出接口: 支持HDMI，SDI，USB、有线LAN、无线LAN接口（5GWiFi模块可选）；SDI支持在1080P60格式下传输100米。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5.变焦:20倍光学变焦，10倍数码变焦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6.镜头转动</w:t>
            </w:r>
            <w:r>
              <w:rPr>
                <w:rFonts w:hint="eastAsia" w:asciiTheme="minorEastAsia" w:hAnsiTheme="minorEastAsia" w:cstheme="minorEastAsia"/>
                <w:i w:val="0"/>
                <w:iCs w:val="0"/>
                <w:color w:val="000000"/>
                <w:kern w:val="0"/>
                <w:sz w:val="24"/>
                <w:szCs w:val="24"/>
                <w:u w:val="none"/>
                <w:lang w:val="en-US" w:eastAsia="zh-CN" w:bidi="ar"/>
              </w:rPr>
              <w:t>范围</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:水平-170°～+170°俯仰-30°～+90°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7.聚焦: 自动/手动/一键聚焦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8.遥控器:中文遥控器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9.背光补偿:遥控器一键切换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10.调焦模式:手动/自动遥控器切换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11.图像亮度:遥控器可调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12.电子翻转:有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13.拍摄范围:A1画面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14.控制协议: VISCA/Pelco-D/Pelco-P；波特率：115200/9600/4800/2400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15.输入端子:VISCA*1RS422*1 RS485*1RS232*120.输出端子:HDMl*1US82.0*1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16.功耗:最大30W(DC12V时)22.操作温度:0~40℃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17.环境温度:-10-60℃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18.随机配件:AC电源适配器，R逐控器，操作说明书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19.需提供厂家售后服务承诺函原件（加盖厂家公章）。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r>
      <w:tr>
        <w:tblPrEx>
          <w:tblLayout w:type="fixed"/>
          <w:tblCellMar>
            <w:top w:w="0" w:type="dxa"/>
            <w:left w:w="108" w:type="dxa"/>
            <w:bottom w:w="0" w:type="dxa"/>
            <w:right w:w="108" w:type="dxa"/>
          </w:tblCellMar>
        </w:tblPrEx>
        <w:trPr>
          <w:trHeight w:val="453"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多媒体音箱</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1.音箱系统 2.0声道</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2.有源音箱</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3.调节方式：调节形式后旋钮调节</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4.输出功率：24W</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5.频率响应≥45Hz-20KHz</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6.扬声器单元:4英寸+1英寸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w:t>
            </w:r>
          </w:p>
        </w:tc>
      </w:tr>
      <w:tr>
        <w:tblPrEx>
          <w:tblLayout w:type="fixed"/>
          <w:tblCellMar>
            <w:top w:w="0" w:type="dxa"/>
            <w:left w:w="108" w:type="dxa"/>
            <w:bottom w:w="0" w:type="dxa"/>
            <w:right w:w="108" w:type="dxa"/>
          </w:tblCellMar>
        </w:tblPrEx>
        <w:trPr>
          <w:trHeight w:val="41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多媒体线材及辅料</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含高清线、音频线、电源线、网线、线槽及其他安装配件辅料等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多媒体集成</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含多媒体设备布线、安装，大屏、黑板安装调试等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双人学生桌</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1、二人位：参考尺寸：L1400×W600×H750mm</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2、桌面采用25毫米三聚氰胺板（两侧材质为PVC封边），面材采用优质三聚氰胺板，甲醛释放达到国家E1级环保要求。</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3、桌体桌面前沿支撑骨架采用冷轧钢板折弯而成，壁厚大于1mm，表面经酸洗、磷化防腐防锈处理后静电喷塑。</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4、桌腿采用蝴蝶型钢脚，钢管为1.2mm。中间为1.0mm冷轧钢板，高度725mm，底部配有隐形可敲漏50mm进线孔，配有尼龙可调节脚，耐用防滑。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单人学生桌</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1、单人位：参考尺寸L700×W600×H750mm</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2、桌面采用25毫米三聚氰胺板（两侧材质为PVC封边），面材采用优质三聚氰胺板，甲醛释放达到国家E1级环保要求。</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3、桌体桌面前沿支撑骨架采用冷轧钢板折弯而成，壁厚大于1mm，表面经酸洗、磷化防腐防锈处理后静电喷塑。</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4、桌腿采用蝴蝶型钢脚，钢管为1.2mm。中间为1.0mm冷轧钢板，高度725mm，底部配有隐形可敲漏50mm进线孔，配有尼龙可调节脚，耐用防滑。</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学生凳</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规格：340×240×420mm，钢木结构</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凳面：采用E1级25mm厚三聚氰胺板,</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框架采用25×25×1.0mm 优质方管。经过除油、酸洗、磷化、打磨、静电喷塑。</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封边：截面采用优质PVC封条机械封边.</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工艺：钢制框架。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把</w:t>
            </w:r>
          </w:p>
        </w:tc>
      </w:tr>
      <w:tr>
        <w:tblPrEx>
          <w:tblLayout w:type="fixed"/>
          <w:tblCellMar>
            <w:top w:w="0" w:type="dxa"/>
            <w:left w:w="108" w:type="dxa"/>
            <w:bottom w:w="0" w:type="dxa"/>
            <w:right w:w="108" w:type="dxa"/>
          </w:tblCellMar>
        </w:tblPrEx>
        <w:trPr>
          <w:trHeight w:val="23"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多媒体桌</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1、外型尺寸：1100*780*1000；上体部分1100*780*350mm（长*宽*高）；下体部分800*650*650mm（长*宽*高）。讲台选用冷轧钢板1.0-1.5mm，数控设备精加工制作。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2、讲台桌面采用木质材料，防静电处理。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3、讲桌桌体采用双开式柜门设计。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4、显示器采用翻转式设计，翻转角度为0-130度，键盘采用翻转式设计，其中采用不锈钢十字铰链，实物展台采用抽拉式设计，隐藏放置于讲桌内。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5、支持中控，主机，DVD，功放音箱，实物展台等安装。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r>
      <w:tr>
        <w:tblPrEx>
          <w:tblLayout w:type="fixed"/>
          <w:tblCellMar>
            <w:top w:w="0" w:type="dxa"/>
            <w:left w:w="108" w:type="dxa"/>
            <w:bottom w:w="0" w:type="dxa"/>
            <w:right w:w="108" w:type="dxa"/>
          </w:tblCellMar>
        </w:tblPrEx>
        <w:trPr>
          <w:trHeight w:val="23"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台式计算机</w:t>
            </w:r>
            <w:r>
              <w:rPr>
                <w:rFonts w:hint="eastAsia" w:asciiTheme="minorEastAsia" w:hAnsiTheme="minorEastAsia" w:eastAsiaTheme="minorEastAsia" w:cstheme="minorEastAsia"/>
                <w:sz w:val="24"/>
                <w:szCs w:val="24"/>
                <w:lang w:eastAsia="zh-CN"/>
              </w:rPr>
              <w:t>（核心产品）</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eastAsia"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kern w:val="0"/>
                <w:sz w:val="24"/>
                <w:szCs w:val="24"/>
                <w:lang w:val="en-US" w:eastAsia="zh-CN"/>
                <w14:ligatures w14:val="none"/>
              </w:rPr>
              <w:t>国产电脑</w:t>
            </w:r>
          </w:p>
          <w:p>
            <w:pPr>
              <w:numPr>
                <w:ilvl w:val="0"/>
                <w:numId w:val="0"/>
              </w:numPr>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lang w:val="en-US" w:eastAsia="zh-CN"/>
                <w14:ligatures w14:val="none"/>
              </w:rPr>
              <w:t>1、</w:t>
            </w:r>
            <w:r>
              <w:rPr>
                <w:rFonts w:hint="eastAsia" w:asciiTheme="minorEastAsia" w:hAnsiTheme="minorEastAsia" w:eastAsiaTheme="minorEastAsia" w:cstheme="minorEastAsia"/>
                <w:kern w:val="0"/>
                <w:sz w:val="24"/>
                <w:szCs w:val="24"/>
                <w14:ligatures w14:val="none"/>
              </w:rPr>
              <w:t>基本要求 国产自主品牌。</w:t>
            </w:r>
          </w:p>
          <w:p>
            <w:pPr>
              <w:numPr>
                <w:ilvl w:val="0"/>
                <w:numId w:val="0"/>
              </w:numPr>
              <w:bidi w:val="0"/>
              <w:ind w:leftChars="0"/>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lang w:val="en-US" w:eastAsia="zh-CN"/>
                <w14:ligatures w14:val="none"/>
              </w:rPr>
              <w:t>2、</w:t>
            </w:r>
            <w:r>
              <w:rPr>
                <w:rFonts w:hint="eastAsia" w:asciiTheme="minorEastAsia" w:hAnsiTheme="minorEastAsia" w:eastAsiaTheme="minorEastAsia" w:cstheme="minorEastAsia"/>
                <w:kern w:val="0"/>
                <w:sz w:val="24"/>
                <w:szCs w:val="24"/>
                <w14:ligatures w14:val="none"/>
              </w:rPr>
              <w:t>处理器 兼容</w:t>
            </w:r>
            <w:r>
              <w:rPr>
                <w:rFonts w:hint="eastAsia" w:asciiTheme="minorEastAsia" w:hAnsiTheme="minorEastAsia" w:eastAsiaTheme="minorEastAsia" w:cstheme="minorEastAsia"/>
                <w:kern w:val="0"/>
                <w:sz w:val="24"/>
                <w:szCs w:val="24"/>
                <w:lang w:val="en-US" w:eastAsia="zh-CN"/>
                <w14:ligatures w14:val="none"/>
              </w:rPr>
              <w:t>X</w:t>
            </w:r>
            <w:r>
              <w:rPr>
                <w:rFonts w:hint="eastAsia" w:asciiTheme="minorEastAsia" w:hAnsiTheme="minorEastAsia" w:eastAsiaTheme="minorEastAsia" w:cstheme="minorEastAsia"/>
                <w:kern w:val="0"/>
                <w:sz w:val="24"/>
                <w:szCs w:val="24"/>
                <w14:ligatures w14:val="none"/>
              </w:rPr>
              <w:t>86 指令集</w:t>
            </w:r>
            <w:r>
              <w:rPr>
                <w:rFonts w:hint="eastAsia" w:asciiTheme="minorEastAsia" w:hAnsiTheme="minorEastAsia" w:eastAsiaTheme="minorEastAsia" w:cstheme="minorEastAsia"/>
                <w:kern w:val="0"/>
                <w:sz w:val="24"/>
                <w:szCs w:val="24"/>
                <w:lang w:eastAsia="zh-CN"/>
                <w14:ligatures w14:val="none"/>
              </w:rPr>
              <w:t>，</w:t>
            </w:r>
            <w:r>
              <w:rPr>
                <w:rFonts w:hint="eastAsia" w:asciiTheme="minorEastAsia" w:hAnsiTheme="minorEastAsia" w:eastAsiaTheme="minorEastAsia" w:cstheme="minorEastAsia"/>
                <w:kern w:val="0"/>
                <w:sz w:val="24"/>
                <w:szCs w:val="24"/>
                <w14:ligatures w14:val="none"/>
              </w:rPr>
              <w:t>国产CPU，物理核心数≥8核，内核主频（非睿频）≥2.7GHz；</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lang w:val="en-US" w:eastAsia="zh-CN"/>
                <w14:ligatures w14:val="none"/>
              </w:rPr>
              <w:t>3</w:t>
            </w:r>
            <w:r>
              <w:rPr>
                <w:rFonts w:hint="eastAsia" w:asciiTheme="minorEastAsia" w:hAnsiTheme="minorEastAsia" w:eastAsiaTheme="minorEastAsia" w:cstheme="minorEastAsia"/>
                <w:kern w:val="0"/>
                <w:sz w:val="24"/>
                <w:szCs w:val="24"/>
                <w14:ligatures w14:val="none"/>
              </w:rPr>
              <w:t>、内存 ≥16GB DDR4 UDIMM内存，配置≥2个内存插槽；</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lang w:val="en-US" w:eastAsia="zh-CN"/>
                <w14:ligatures w14:val="none"/>
              </w:rPr>
              <w:t>4</w:t>
            </w:r>
            <w:r>
              <w:rPr>
                <w:rFonts w:hint="eastAsia" w:asciiTheme="minorEastAsia" w:hAnsiTheme="minorEastAsia" w:eastAsiaTheme="minorEastAsia" w:cstheme="minorEastAsia"/>
                <w:kern w:val="0"/>
                <w:sz w:val="24"/>
                <w:szCs w:val="24"/>
                <w14:ligatures w14:val="none"/>
              </w:rPr>
              <w:t>、显卡 ≥2G独立显卡，另支持集成显卡，支持VGA+HDMI视频输出显示，默认独显输出；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lang w:val="en-US" w:eastAsia="zh-CN"/>
                <w14:ligatures w14:val="none"/>
              </w:rPr>
              <w:t>5</w:t>
            </w:r>
            <w:r>
              <w:rPr>
                <w:rFonts w:hint="eastAsia" w:asciiTheme="minorEastAsia" w:hAnsiTheme="minorEastAsia" w:eastAsiaTheme="minorEastAsia" w:cstheme="minorEastAsia"/>
                <w:kern w:val="0"/>
                <w:sz w:val="24"/>
                <w:szCs w:val="24"/>
                <w14:ligatures w14:val="none"/>
              </w:rPr>
              <w:t>、硬盘 ≥</w:t>
            </w:r>
            <w:r>
              <w:rPr>
                <w:rFonts w:hint="eastAsia" w:asciiTheme="minorEastAsia" w:hAnsiTheme="minorEastAsia" w:eastAsiaTheme="minorEastAsia" w:cstheme="minorEastAsia"/>
                <w:kern w:val="0"/>
                <w:sz w:val="24"/>
                <w:szCs w:val="24"/>
                <w:lang w:val="en-US" w:eastAsia="zh-CN"/>
                <w14:ligatures w14:val="none"/>
              </w:rPr>
              <w:t>256</w:t>
            </w:r>
            <w:r>
              <w:rPr>
                <w:rFonts w:hint="eastAsia" w:asciiTheme="minorEastAsia" w:hAnsiTheme="minorEastAsia" w:eastAsiaTheme="minorEastAsia" w:cstheme="minorEastAsia"/>
                <w:kern w:val="0"/>
                <w:sz w:val="24"/>
                <w:szCs w:val="24"/>
                <w14:ligatures w14:val="none"/>
              </w:rPr>
              <w:t xml:space="preserve"> GB M.2接口NVME协议SSD，配置1块3.5寸1T机械硬盘，≥5400 RPM；</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lang w:val="en-US" w:eastAsia="zh-CN"/>
                <w14:ligatures w14:val="none"/>
              </w:rPr>
              <w:t>6</w:t>
            </w:r>
            <w:r>
              <w:rPr>
                <w:rFonts w:hint="eastAsia" w:asciiTheme="minorEastAsia" w:hAnsiTheme="minorEastAsia" w:eastAsiaTheme="minorEastAsia" w:cstheme="minorEastAsia"/>
                <w:kern w:val="0"/>
                <w:sz w:val="24"/>
                <w:szCs w:val="24"/>
                <w14:ligatures w14:val="none"/>
              </w:rPr>
              <w:t>、网络 1个RJ45 10/100/1000自适应以太网口；</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lang w:val="en-US" w:eastAsia="zh-CN"/>
                <w14:ligatures w14:val="none"/>
              </w:rPr>
              <w:t>7</w:t>
            </w:r>
            <w:r>
              <w:rPr>
                <w:rFonts w:hint="eastAsia" w:asciiTheme="minorEastAsia" w:hAnsiTheme="minorEastAsia" w:eastAsiaTheme="minorEastAsia" w:cstheme="minorEastAsia"/>
                <w:kern w:val="0"/>
                <w:sz w:val="24"/>
                <w:szCs w:val="24"/>
                <w14:ligatures w14:val="none"/>
              </w:rPr>
              <w:t>、接口扩展  配置≥8个USB 接口，其中前置USB3.0</w:t>
            </w:r>
            <w:r>
              <w:rPr>
                <w:rFonts w:hint="eastAsia" w:asciiTheme="minorEastAsia" w:hAnsiTheme="minorEastAsia" w:eastAsiaTheme="minorEastAsia" w:cstheme="minorEastAsia"/>
                <w:kern w:val="0"/>
                <w:sz w:val="24"/>
                <w:szCs w:val="24"/>
                <w:lang w:eastAsia="zh-CN"/>
                <w14:ligatures w14:val="none"/>
              </w:rPr>
              <w:t>及以上接口不少于</w:t>
            </w:r>
            <w:r>
              <w:rPr>
                <w:rFonts w:hint="eastAsia" w:asciiTheme="minorEastAsia" w:hAnsiTheme="minorEastAsia" w:eastAsiaTheme="minorEastAsia" w:cstheme="minorEastAsia"/>
                <w:kern w:val="0"/>
                <w:sz w:val="24"/>
                <w:szCs w:val="24"/>
                <w:lang w:val="en-US" w:eastAsia="zh-CN"/>
                <w14:ligatures w14:val="none"/>
              </w:rPr>
              <w:t>4个</w:t>
            </w:r>
            <w:r>
              <w:rPr>
                <w:rFonts w:hint="eastAsia" w:asciiTheme="minorEastAsia" w:hAnsiTheme="minorEastAsia" w:eastAsiaTheme="minorEastAsia" w:cstheme="minorEastAsia"/>
                <w:kern w:val="0"/>
                <w:sz w:val="24"/>
                <w:szCs w:val="24"/>
                <w14:ligatures w14:val="none"/>
              </w:rPr>
              <w:t>；1个RJ45网口，1个HDMI接口，1个VGA接口，前置1组音频接口，后置1组音频接口；</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lang w:val="en-US" w:eastAsia="zh-CN"/>
                <w14:ligatures w14:val="none"/>
              </w:rPr>
              <w:t>8</w:t>
            </w:r>
            <w:r>
              <w:rPr>
                <w:rFonts w:hint="eastAsia" w:asciiTheme="minorEastAsia" w:hAnsiTheme="minorEastAsia" w:eastAsiaTheme="minorEastAsia" w:cstheme="minorEastAsia"/>
                <w:kern w:val="0"/>
                <w:sz w:val="24"/>
                <w:szCs w:val="24"/>
                <w14:ligatures w14:val="none"/>
              </w:rPr>
              <w:t xml:space="preserve">、易用性 </w:t>
            </w:r>
            <w:r>
              <w:rPr>
                <w:rFonts w:hint="eastAsia" w:asciiTheme="minorEastAsia" w:hAnsiTheme="minorEastAsia" w:eastAsiaTheme="minorEastAsia" w:cstheme="minorEastAsia"/>
                <w:kern w:val="0"/>
                <w:sz w:val="24"/>
                <w:szCs w:val="24"/>
                <w:lang w:val="en-US" w:eastAsia="zh-CN"/>
                <w14:ligatures w14:val="none"/>
              </w:rPr>
              <w:t>方便</w:t>
            </w:r>
            <w:r>
              <w:rPr>
                <w:rFonts w:hint="eastAsia" w:asciiTheme="minorEastAsia" w:hAnsiTheme="minorEastAsia" w:eastAsiaTheme="minorEastAsia" w:cstheme="minorEastAsia"/>
                <w:kern w:val="0"/>
                <w:sz w:val="24"/>
                <w:szCs w:val="24"/>
                <w14:ligatures w14:val="none"/>
              </w:rPr>
              <w:t>拆卸机箱；</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eastAsiaTheme="minorEastAsia" w:cstheme="minorEastAsia"/>
                <w:kern w:val="0"/>
                <w:sz w:val="24"/>
                <w:szCs w:val="24"/>
                <w:lang w:val="en-US" w:eastAsia="zh-CN"/>
                <w14:ligatures w14:val="none"/>
              </w:rPr>
              <w:t>9</w:t>
            </w:r>
            <w:r>
              <w:rPr>
                <w:rFonts w:hint="eastAsia" w:asciiTheme="minorEastAsia" w:hAnsiTheme="minorEastAsia" w:eastAsiaTheme="minorEastAsia" w:cstheme="minorEastAsia"/>
                <w:kern w:val="0"/>
                <w:sz w:val="24"/>
                <w:szCs w:val="24"/>
                <w14:ligatures w14:val="none"/>
              </w:rPr>
              <w:t>、数据安全 支持出厂备份还原、全盘备份还原和分区备份还原等功能</w:t>
            </w:r>
            <w:r>
              <w:rPr>
                <w:rFonts w:hint="eastAsia" w:asciiTheme="minorEastAsia" w:hAnsiTheme="minorEastAsia" w:eastAsiaTheme="minorEastAsia" w:cstheme="minorEastAsia"/>
                <w:kern w:val="0"/>
                <w:sz w:val="24"/>
                <w:szCs w:val="24"/>
                <w:lang w:eastAsia="zh-CN"/>
                <w14:ligatures w14:val="none"/>
              </w:rPr>
              <w:t>；</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lang w:val="en-US" w:eastAsia="zh-CN"/>
                <w14:ligatures w14:val="none"/>
              </w:rPr>
              <w:t>10</w:t>
            </w:r>
            <w:r>
              <w:rPr>
                <w:rFonts w:hint="eastAsia" w:asciiTheme="minorEastAsia" w:hAnsiTheme="minorEastAsia" w:eastAsiaTheme="minorEastAsia" w:cstheme="minorEastAsia"/>
                <w:kern w:val="0"/>
                <w:sz w:val="24"/>
                <w:szCs w:val="24"/>
                <w14:ligatures w14:val="none"/>
              </w:rPr>
              <w:t>、质控水平 MTBF≥30000</w:t>
            </w:r>
            <w:r>
              <w:rPr>
                <w:rFonts w:hint="eastAsia" w:asciiTheme="minorEastAsia" w:hAnsiTheme="minorEastAsia" w:eastAsiaTheme="minorEastAsia" w:cstheme="minorEastAsia"/>
                <w:kern w:val="0"/>
                <w:sz w:val="24"/>
                <w:szCs w:val="24"/>
                <w:lang w:val="en-US" w:eastAsia="zh-CN"/>
                <w14:ligatures w14:val="none"/>
              </w:rPr>
              <w:t>0</w:t>
            </w:r>
            <w:r>
              <w:rPr>
                <w:rFonts w:hint="eastAsia" w:asciiTheme="minorEastAsia" w:hAnsiTheme="minorEastAsia" w:eastAsiaTheme="minorEastAsia" w:cstheme="minorEastAsia"/>
                <w:kern w:val="0"/>
                <w:sz w:val="24"/>
                <w:szCs w:val="24"/>
                <w14:ligatures w14:val="none"/>
              </w:rPr>
              <w:t>小时；</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w:t>
            </w:r>
            <w:r>
              <w:rPr>
                <w:rFonts w:hint="eastAsia" w:asciiTheme="minorEastAsia" w:hAnsiTheme="minorEastAsia" w:eastAsiaTheme="minorEastAsia" w:cstheme="minorEastAsia"/>
                <w:kern w:val="0"/>
                <w:sz w:val="24"/>
                <w:szCs w:val="24"/>
                <w:lang w:val="en-US" w:eastAsia="zh-CN"/>
                <w14:ligatures w14:val="none"/>
              </w:rPr>
              <w:t>1</w:t>
            </w:r>
            <w:r>
              <w:rPr>
                <w:rFonts w:hint="eastAsia" w:asciiTheme="minorEastAsia" w:hAnsiTheme="minorEastAsia" w:eastAsiaTheme="minorEastAsia" w:cstheme="minorEastAsia"/>
                <w:kern w:val="0"/>
                <w:sz w:val="24"/>
                <w:szCs w:val="24"/>
                <w14:ligatures w14:val="none"/>
              </w:rPr>
              <w:t>、显示器 支持壁挂，≥23.8寸，分辨率1920*1080，≥1个HDMI</w:t>
            </w:r>
            <w:r>
              <w:rPr>
                <w:rFonts w:hint="eastAsia" w:asciiTheme="minorEastAsia" w:hAnsiTheme="minorEastAsia" w:eastAsiaTheme="minorEastAsia" w:cstheme="minorEastAsia"/>
                <w:kern w:val="0"/>
                <w:sz w:val="24"/>
                <w:szCs w:val="24"/>
                <w:lang w:eastAsia="zh-CN"/>
                <w14:ligatures w14:val="none"/>
              </w:rPr>
              <w:t>及一其他接口</w:t>
            </w:r>
            <w:r>
              <w:rPr>
                <w:rFonts w:hint="eastAsia" w:asciiTheme="minorEastAsia" w:hAnsiTheme="minorEastAsia" w:eastAsiaTheme="minorEastAsia" w:cstheme="minorEastAsia"/>
                <w:kern w:val="0"/>
                <w:sz w:val="24"/>
                <w:szCs w:val="24"/>
                <w14:ligatures w14:val="none"/>
              </w:rPr>
              <w:t>，且接口在下方，刷新率≥60HZ，支持低蓝光；</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w:t>
            </w:r>
            <w:r>
              <w:rPr>
                <w:rFonts w:hint="eastAsia" w:asciiTheme="minorEastAsia" w:hAnsiTheme="minorEastAsia" w:eastAsiaTheme="minorEastAsia" w:cstheme="minorEastAsia"/>
                <w:kern w:val="0"/>
                <w:sz w:val="24"/>
                <w:szCs w:val="24"/>
                <w:lang w:val="en-US" w:eastAsia="zh-CN"/>
                <w14:ligatures w14:val="none"/>
              </w:rPr>
              <w:t>2</w:t>
            </w:r>
            <w:r>
              <w:rPr>
                <w:rFonts w:hint="eastAsia" w:asciiTheme="minorEastAsia" w:hAnsiTheme="minorEastAsia" w:eastAsiaTheme="minorEastAsia" w:cstheme="minorEastAsia"/>
                <w:kern w:val="0"/>
                <w:sz w:val="24"/>
                <w:szCs w:val="24"/>
                <w14:ligatures w14:val="none"/>
              </w:rPr>
              <w:t>、键鼠 配置一套</w:t>
            </w:r>
            <w:r>
              <w:rPr>
                <w:rFonts w:hint="eastAsia" w:asciiTheme="minorEastAsia" w:hAnsiTheme="minorEastAsia" w:eastAsiaTheme="minorEastAsia" w:cstheme="minorEastAsia"/>
                <w:kern w:val="0"/>
                <w:sz w:val="24"/>
                <w:szCs w:val="24"/>
                <w:lang w:eastAsia="zh-CN"/>
                <w14:ligatures w14:val="none"/>
              </w:rPr>
              <w:t>原厂</w:t>
            </w:r>
            <w:r>
              <w:rPr>
                <w:rFonts w:hint="eastAsia" w:asciiTheme="minorEastAsia" w:hAnsiTheme="minorEastAsia" w:eastAsiaTheme="minorEastAsia" w:cstheme="minorEastAsia"/>
                <w:kern w:val="0"/>
                <w:sz w:val="24"/>
                <w:szCs w:val="24"/>
                <w14:ligatures w14:val="none"/>
              </w:rPr>
              <w:t>有线USB接口的键盘鼠标；</w:t>
            </w:r>
          </w:p>
          <w:p>
            <w:pPr>
              <w:numPr>
                <w:ilvl w:val="0"/>
                <w:numId w:val="0"/>
              </w:numPr>
              <w:bidi w:val="0"/>
              <w:ind w:leftChars="0"/>
              <w:rPr>
                <w:rFonts w:hint="eastAsia" w:asciiTheme="minorEastAsia" w:hAnsiTheme="minorEastAsia" w:eastAsiaTheme="minorEastAsia" w:cstheme="minorEastAsia"/>
                <w:kern w:val="0"/>
                <w:sz w:val="24"/>
                <w:szCs w:val="24"/>
                <w14:ligatures w14:val="none"/>
              </w:rPr>
            </w:pPr>
            <w:r>
              <w:rPr>
                <w:rFonts w:hint="eastAsia" w:ascii="宋体" w:hAnsi="宋体" w:eastAsia="宋体" w:cs="宋体"/>
                <w:kern w:val="0"/>
                <w:sz w:val="24"/>
                <w:szCs w:val="24"/>
                <w:lang w:val="en-US" w:eastAsia="zh-CN"/>
                <w14:ligatures w14:val="none"/>
              </w:rPr>
              <w:t>13、</w:t>
            </w:r>
            <w:r>
              <w:rPr>
                <w:rFonts w:hint="eastAsia" w:asciiTheme="minorEastAsia" w:hAnsiTheme="minorEastAsia" w:eastAsiaTheme="minorEastAsia" w:cstheme="minorEastAsia"/>
                <w:i w:val="0"/>
                <w:iCs w:val="0"/>
                <w:color w:val="000000"/>
                <w:kern w:val="0"/>
                <w:sz w:val="24"/>
                <w:szCs w:val="24"/>
                <w:u w:val="none"/>
                <w:lang w:val="en-US" w:eastAsia="zh-CN" w:bidi="ar"/>
              </w:rPr>
              <w:t>需提供厂家售后服务承诺函原件（加盖厂家公章）。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r>
      <w:tr>
        <w:tblPrEx>
          <w:tblLayout w:type="fixed"/>
          <w:tblCellMar>
            <w:top w:w="0" w:type="dxa"/>
            <w:left w:w="108" w:type="dxa"/>
            <w:bottom w:w="0" w:type="dxa"/>
            <w:right w:w="108" w:type="dxa"/>
          </w:tblCellMar>
        </w:tblPrEx>
        <w:trPr>
          <w:trHeight w:val="4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操作系统</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default"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kern w:val="0"/>
                <w:sz w:val="24"/>
                <w:szCs w:val="24"/>
                <w:lang w:val="en-US" w:eastAsia="zh-CN"/>
                <w14:ligatures w14:val="none"/>
              </w:rPr>
              <w:t>国产操作系统</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14:ligatures w14:val="none"/>
              </w:rPr>
              <w:t>1、提供桌面操作系统的图形化人机交互操作UI 界面，具有良好的用户操作体验，窗口包括标题栏、菜单栏、状态栏等。</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2、支持语言支持中文、英文。</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3、输入法：支持中文输入法，至少支持搜狗输入法（拼音/五笔，中文/英文/藏文）、华宇输入法、智能陈桥输入法、极点五笔输入法等。</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4、支持4K 分辨率。</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5、支持国内外主流打印机、扫描仪、投影仪、摄像头等各类外设设备。</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6、浏览器支持奇安信可信浏览器、360 安全浏览器、Firefox 网络浏览器等，支持业界主流的浏览器内核技术。</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7、支持：支持主流国产办公软件，支持金山wps、永中office、福昕OFD 版式办公软件、数科OFD 阅读器；微信、企业微信、TIM、foxmail、腾讯会议。</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8、提供包括视频播放器、文件保护箱、截图软件、刻录软件、智能语音助手和工具箱。</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9、支持一键操作更新卸载。</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10、支持系统消息通知。</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11、提供安卓兼容运行环境，支持包括微信、QQ、钉钉、蓝信+、学习强国等原生安卓应用。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12、支持桌面分享，摄像头热插拔，支持文件管理器打开安卓文件，文件互通、平行界面；支持录屏分享、快捷键；系统默认提供备份还原工具，支持数据备份、数据还原，支持系统全量备份、系统增量回溯备份。</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13、提供一键还原、一键Ghost、恢复出厂备份等功能。</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14、支持多种搜索内容，支持拼音搜索和模糊搜索、快捷查找系统应用、设置项和文件（包括文本内容）。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r>
      <w:tr>
        <w:tblPrEx>
          <w:tblLayout w:type="fixed"/>
          <w:tblCellMar>
            <w:top w:w="0" w:type="dxa"/>
            <w:left w:w="108" w:type="dxa"/>
            <w:bottom w:w="0" w:type="dxa"/>
            <w:right w:w="108" w:type="dxa"/>
          </w:tblCellMar>
        </w:tblPrEx>
        <w:trPr>
          <w:trHeight w:val="56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办公软件</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14:ligatures w14:val="none"/>
              </w:rPr>
              <w:t>1、操作习惯兼容：软件界面与微软office界面在菜单排布和功能界面的操作使用上保持相似；</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2、界面样式多样性：支持窗口多组件/整合模式，支持进行单窗口多标签的拆分与组合，在多窗口模式下支持在系统任务栏显示多主窗口；</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3、支持主题外观皮肤选择；</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4、具备文字、表格、演示各组建基础模板，便于教职工编辑文档直接使用；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5、支持在表格中一键插入求和、计数、平均值等常用函数公式。支持多列数据合并操作。支持单元格数据的循环引用；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6、文字、表格、演示模块均支持图形、图片对象各类属性的即时预览，如图形填充色、线条样式、线条粗细、线条虚实、箭头样式及阴影、映像、发光效果的即时预览；</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7、演示模块插入音频视频文件后在本应用中即可播放多媒体文件，无需调用其他播放软件，并且提供多种播放模式供选择。</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8、在文字、演示模块中选择插入表格操作时，浮框支持即时预览插入效果；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9、在文字模块，右键插入行数的手动输入，便于一次性插入多行；</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10、在演示模块，表格可以选择表格样式，选择样式即可预览样式效果；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11、表格模块中支持数据自动生成柱形图、折线图、饼状图、条形图、面积图、xy散点图、股价图、雷达图、组合图等形式，各种类型之间可方便转换。支持图表定位到单元格中；</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12、格式兼容性：办公软件能生成.wps/.et/.dps等文件格式。双向兼容：各功能模块与微软 Office的Word、Excel、Powerpoint 三个功能模块相互兼容，支持格式包括且不限于 doc、docx、xls、xlsx、ppt、pptx、pdf、txt、xml。</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13、支持档修复：需支持修复打不开或损坏的文档，文档格式需支持Word/Excel/PPT/非纯图的PDF等；</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14、文字模块支持智能目录导航，自动识别文档结构，实时调整文档目录；标题格式不用调整样式，也可智能自动生成目录；</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15、表格模块支持表格的快速合并选择，支持教师一键选择合并居中、合并单元格、合并相同单元格、合并内容、取消合并单元格、拆分并填充内容；</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16、演示模块，支持手机移动OFFICE客户端进行控制PC端OFFICE放映的演示文档，实现把手机变成遥控器，便于演讲人能随时切换演示文档。</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r>
      <w:tr>
        <w:tblPrEx>
          <w:tblLayout w:type="fixed"/>
          <w:tblCellMar>
            <w:top w:w="0" w:type="dxa"/>
            <w:left w:w="108" w:type="dxa"/>
            <w:bottom w:w="0" w:type="dxa"/>
            <w:right w:w="108" w:type="dxa"/>
          </w:tblCellMar>
        </w:tblPrEx>
        <w:trPr>
          <w:trHeight w:val="558"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桌面云管理系统</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1、采用中央服务器管理模式，服务端支持主流的国产硬件平台和国产操作系统（UOS、kylin等），通过一台服务器管理不同品牌、不同架构的终端和主流操作系统。</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2、软件负载要求：单台入门级服务器（或主流PC）可管理客户端≥600台；</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3、管理系统可以统计终端用户数量、终端数量、虚拟磁盘数量和镜像数量等信息，同时可以统计服务器信息、CPU、内存及硬盘的使用率</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服务端授权采用数量授权方式，不绑定终端硬件信息，可以在终端设备发生故障时，在不超过授权数量的情况下，可以随意替换损坏的终端，不需要和厂商再次申请授权的过程，减少因为设备损坏时申请授权的等待时间，及时的恢复教学环境的正常运行。</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5、系统服务端集成不同硬件架构的底层系统、客户端程序及数据库导入导出工具等，维护人员根据需求可以直接从服务端进行下载，无需找原始安装文件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6、具有独立的前端可视化管理平台，并且只有执行权限，管理员可以根据需求，提前设定好的指令和策略的操作模块，减少一线操作员的误操作几率的发生。</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7、在受保护的系统或分区中，可以自定义某个文件夹内的所有内容，不进行还原，即保护系统，也可对一些特殊的应用程序特有的属性进行独立保护</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8、系统支持软、硬件异构融合功能，相同硬件架构不同配置的终端可以使用同一镜像进行下发部署。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w:t>
            </w:r>
          </w:p>
        </w:tc>
      </w:tr>
      <w:tr>
        <w:tblPrEx>
          <w:tblLayout w:type="fixed"/>
          <w:tblCellMar>
            <w:top w:w="0" w:type="dxa"/>
            <w:left w:w="108" w:type="dxa"/>
            <w:bottom w:w="0" w:type="dxa"/>
            <w:right w:w="108" w:type="dxa"/>
          </w:tblCellMar>
        </w:tblPrEx>
        <w:trPr>
          <w:trHeight w:val="1408"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机房互动软件</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0"/>
              </w:numPr>
              <w:jc w:val="left"/>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lang w:val="en-US" w:eastAsia="zh-CN"/>
                <w14:ligatures w14:val="none"/>
              </w:rPr>
              <w:t>1、</w:t>
            </w:r>
            <w:r>
              <w:rPr>
                <w:rFonts w:hint="eastAsia" w:asciiTheme="minorEastAsia" w:hAnsiTheme="minorEastAsia" w:eastAsiaTheme="minorEastAsia" w:cstheme="minorEastAsia"/>
                <w:kern w:val="0"/>
                <w:sz w:val="24"/>
                <w:szCs w:val="24"/>
                <w14:ligatures w14:val="none"/>
              </w:rPr>
              <w:t>共享白板：系统支持导入图片创建白板内容，将白板内容共享给学生，教师可以选择某个学生控制老师的白板内容实现共同交互答题。教师也可以允许学生个人绘画模式在老师导入的素材白板内容基础上独立完成学习任务，教师可以监看所有学生的完成情况，同时可以把指定学生绘画的白板内容分享给其他同学欣赏。</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2、支持loongnix、UOS、Kylin、方德操作系统。</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3、试卷编辑：教师可通过答题卡编辑器插入图片，直接生成答题卡用于学生作答，试题类型包含选择题、判断题、填空题、论述题和手写题。教师可在答题卡中为客观题设置正确答案，为主观题设置参考答案。</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4、快速考试：教师可使用快速答题卡用于学生作答，输入考试名称、考试时间、试题类型、试题数量和试题分数即可快速发起考试，试题类型包含选择题、判断题、填空题、论述题和手写题。</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5、自定义考试：教师可使用自定义答题卡，将通过答题卡编辑器创建的答题卡导入试卷，分发给学生即可开始考试。开始考试后，教师可查看学生的答题进度。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6、阅卷评分：考试结束后自动弹出评分界面，客观题可自动评分，教师只需对主观题进行手动评分，支持将考试评分结果发送给相应的学生，并支持将考试评分结果以网页形式导出到本地。</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w:t>
            </w:r>
            <w:r>
              <w:rPr>
                <w:rFonts w:hint="eastAsia" w:asciiTheme="minorEastAsia" w:hAnsiTheme="minorEastAsia" w:eastAsiaTheme="minorEastAsia" w:cstheme="minorEastAsia"/>
                <w:kern w:val="0"/>
                <w:sz w:val="24"/>
                <w:szCs w:val="24"/>
                <w:lang w:val="en-US" w:eastAsia="zh-CN"/>
                <w14:ligatures w14:val="none"/>
              </w:rPr>
              <w:t>#</w:t>
            </w:r>
            <w:r>
              <w:rPr>
                <w:rFonts w:hint="eastAsia" w:asciiTheme="minorEastAsia" w:hAnsiTheme="minorEastAsia" w:eastAsiaTheme="minorEastAsia" w:cstheme="minorEastAsia"/>
                <w:kern w:val="0"/>
                <w:sz w:val="24"/>
                <w:szCs w:val="24"/>
                <w14:ligatures w14:val="none"/>
              </w:rPr>
              <w:t>抢答和竞答：组织全体或分组的快速抢答问题，有抢答口述回复、抢答文字回复、抢答屏幕转播回复三种方式，抢答对错后老师可以选择五角星+数字的方式给予学生相应奖励结果，并可根据题目的难易程度给出不同的分值，竞赛支持同一小组内排名。（提供功能截图并加盖</w:t>
            </w:r>
            <w:r>
              <w:rPr>
                <w:rFonts w:hint="eastAsia" w:asciiTheme="minorEastAsia" w:hAnsiTheme="minorEastAsia" w:eastAsia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8、扩展屏广播模式：教师机连接两个显示器，可在广播时选择将任意一个显示器的内容广播到学生机。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网络影院：采用流媒体技术，可实现教师机播放的视频同步无延时广播到学生机，学生无需下载该文件，教师也无需共享该文件。支持VCD、DVD、AVI等主流文件格式，支持720p、1080p高清视频。网络快照：教师可以在监控学生的时候，对学生画面拍快照或者录制，保存学生画面的截图或桌面视频。</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10、签到：提供学生名单管理工具，为软件和考试模块提供实名验证。提供点名功能，支持保留学生多次登录记录、考勤统计、签到信息的导出与对比，支持csv 格式的导出。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11、分组讨论：可以进行教师将学生分组，同组的组员可以相互讨论，教师可以参加任意组的讨论。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12、文件分发：允许教师将教师机不同盘符中的目录或文件一起发送至生机的某目录下。目录不存在自动新建此目录；盘符不存在或路径非法不允许分发；文件已存在选择自动覆盖或保留原始文件。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13、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14、自动锁屏：独有的断线保护自动锁屏技术，通过网卡的是否激活来锁定屏幕，避免学生拔掉网线违反纪律。</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15、防杀进程：为安全起见，学生端程序运行后，防止学生通过任务管理器结束学生端程序进程来逃脱教师控制。</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16、请求帮助：学生端遇到问题可请求帮助，教师端可远程遥控帮助学生解决问题。</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17、远程消息：教师与学生能够使用远程消息进行交流，并可以允许和阻止学生发送文字消息。</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18、黑屏肃静：教师可以对单一、部分、全体学生执行或解除黑屏操作，教师可自定义黑屏的内容与图片。</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19、键鼠禁用：教师可以对单一、部分、全体学生禁用键鼠操作，禁用时学生端鼠标和键盘被锁定，学生无法进行任何操作。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20、远程命令：教师可进行远程打开网页、开机、关机、重启、关闭应用程序等操作。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#21、视图模式：软件提供监控视图、详细信息视图、策略视图、文件提交视图、答题卡视图、抢答竞赛视图、共享白板视图。（厂家提供CSTC标识的软件评测中心检测报告并加盖</w:t>
            </w:r>
            <w:r>
              <w:rPr>
                <w:rFonts w:hint="eastAsia" w:asciiTheme="minorEastAsia" w:hAnsi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22、另具备屏幕广播、学生演示、网络影院、远程开关机、远程命令、屏幕监看、举手、发言、防杀进程、黑屏肃静、文件分发、文件收集等功能。</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#23、加密方式：系统可进行在线序列号加密和离线文件加密。（厂家提供CSTC标识的软件评测中心检测报告并加盖</w:t>
            </w:r>
            <w:r>
              <w:rPr>
                <w:rFonts w:hint="eastAsia" w:asciiTheme="minorEastAsia" w:hAnsi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24、多教室同时授课时系统登录支持学生端选择在线的任意老师端进入授课方式。</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14:ligatures w14:val="none"/>
              </w:rPr>
              <w:t>#</w:t>
            </w:r>
            <w:r>
              <w:rPr>
                <w:rFonts w:hint="eastAsia" w:asciiTheme="minorEastAsia" w:hAnsiTheme="minorEastAsia" w:eastAsiaTheme="minorEastAsia" w:cstheme="minorEastAsia"/>
                <w:kern w:val="0"/>
                <w:sz w:val="24"/>
                <w:szCs w:val="24"/>
                <w14:ligatures w14:val="none"/>
              </w:rPr>
              <w:t>25、客户端策略限制：具有客户端自行断网后自动启用断网锁屏功能、主控端通过黑白名单功能开启网页限制功能、主控端还可以开启对学生电脑的U盘限制功能。</w:t>
            </w:r>
            <w:r>
              <w:rPr>
                <w:rFonts w:hint="eastAsia" w:asciiTheme="minorEastAsia" w:hAnsiTheme="minorEastAsia" w:cstheme="minorEastAsia"/>
                <w:kern w:val="0"/>
                <w:sz w:val="24"/>
                <w:szCs w:val="24"/>
                <w:lang w:eastAsia="zh-CN"/>
                <w14:ligatures w14:val="none"/>
              </w:rPr>
              <w:t>（</w:t>
            </w:r>
            <w:r>
              <w:rPr>
                <w:rFonts w:hint="eastAsia" w:asciiTheme="minorEastAsia" w:hAnsiTheme="minorEastAsia" w:cstheme="minorEastAsia"/>
                <w:kern w:val="0"/>
                <w:sz w:val="24"/>
                <w:szCs w:val="24"/>
                <w:lang w:val="en-US" w:eastAsia="zh-CN"/>
                <w14:ligatures w14:val="none"/>
              </w:rPr>
              <w:t>厂家提供功能截图并加盖生产厂家公章）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14:ligatures w14:val="none"/>
              </w:rPr>
              <w:t>2</w:t>
            </w:r>
            <w:r>
              <w:rPr>
                <w:rFonts w:hint="eastAsia" w:asciiTheme="minorEastAsia" w:hAnsiTheme="minorEastAsia" w:cstheme="minorEastAsia"/>
                <w:kern w:val="0"/>
                <w:sz w:val="24"/>
                <w:szCs w:val="24"/>
                <w:lang w:val="en-US" w:eastAsia="zh-CN"/>
                <w14:ligatures w14:val="none"/>
              </w:rPr>
              <w:t>6</w:t>
            </w:r>
            <w:r>
              <w:rPr>
                <w:rFonts w:hint="eastAsia" w:asciiTheme="minorEastAsia" w:hAnsiTheme="minorEastAsia" w:eastAsiaTheme="minorEastAsia" w:cstheme="minorEastAsia"/>
                <w:kern w:val="0"/>
                <w:sz w:val="24"/>
                <w:szCs w:val="24"/>
                <w:lang w:val="en-US" w:eastAsia="zh-CN"/>
                <w14:ligatures w14:val="none"/>
              </w:rPr>
              <w:t>、</w:t>
            </w:r>
            <w:r>
              <w:rPr>
                <w:rFonts w:hint="eastAsia" w:asciiTheme="minorEastAsia" w:hAnsiTheme="minorEastAsia" w:eastAsiaTheme="minorEastAsia" w:cstheme="minorEastAsia"/>
                <w:kern w:val="0"/>
                <w:sz w:val="24"/>
                <w:szCs w:val="24"/>
                <w14:ligatures w14:val="none"/>
              </w:rPr>
              <w:t>系统具有CSTC软件评测中心的“软件产品检测报告”。</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校园模考系统学生耳机</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1.双头梁耳麦，头梁自适应调节，佩戴时无需手动调整。包耳式耳罩，隔音效果良好，耳罩可拆卸更换。耳麦整体无音量调节旋钮或按钮。</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2.内置双声道声卡。主流操作系统免驱，即插即用。USB2.0接口，线长2.5米以上，具有抗干扰磁环，具有绿色LED指示灯。</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3.麦克风参数：超心型指向性；（麦克风位置具有方向指示标志）麦克风正对声源（0°）与背对（180°）声源时，拾取信号强度相差10dB以上；灵敏度：-35dB（±3dB）；频响：100Hz - 10kHz；信噪比：＞50dB；连接杆长度：≥18cm，旋转角度：＞120°。</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4.喇叭直径：40mm 钕铁硼喇叭；阻抗：32Ω（±15%）；灵敏度：108±3dB；频响：20Hz - 20kHz；功率：20mW。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39</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校园模考系统</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一、考试管理客户端</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1.需支持同步老师创建的考试任务，包括未考试的和正在考试的任务。在系统中可以展示任务列表。</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2.需支持考试任务的下载，包括考试试卷和考生基础信息的下载。</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3.需支持启动监考机开始一场全真模拟测试。</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4.考试结束后，需支持进行答卷包完整性校验，上传考试状态数据和答卷包，并将数据传到服务器进行评测。</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5.考试任务详情中，需支持查看考试任务的基本信息，当前任务中所有考生的考试状态，包括已考、未考、考试失败等。</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二、监考程序</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需支持考试过程监控，包括准备考试、开始试音、开始考试、结束考试；</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2.需支持监考机操作，输入考生座位号的方式，调整学生考试座位号。</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系统需支持答题同步，在所有学生完成同一个大题后才允许进入下一个大题，解决学生因为系统硬件配置、网络等因素影响或者使用多套试卷而导致的考试不同步情况。</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考试过程中，需支持监考机与考试机之间网络不稳定的情况下（偶尔断网）不影响考试，如监考机发生如断网、死机等异常，重启后能够自动恢复到本场考试状态。</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应确保考试过程中的录音质量：能够自动检测学生语音质量，及时发现答题语音不合格的学生，以便安排重考。</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系统需支持收集学生答卷包。</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三、考试程序</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系统需支持准考证号或者学号进行登录；</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系统需支持与中高考试题流程、界面完全一致，对考试环境全真模拟，包括答题时间、语音播放次数限制。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需支持学生按照考试流程、指令完成考试。</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需支持多种保障安全策略: ①需支持相邻的学生试卷不同；②需支持同一套试卷小题乱序以及选项乱序，提高防作弊水平。</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5.考试完成后，系统需支持自动对学生答题数据进行打包，传到监考机。</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四、评测引擎</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模拟测试场景的评分引擎，需要具备以下主要功能：</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需支持实时提供考试的总分、大题分和小题分。</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朗读短文需支持提供流畅度、完整度、流畅度更细化的分数反馈；复述题可以提供完整性、准确性、流畅性等细化分数反馈； </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需适用于班级模考、校级联考、区级联考等场景，进行评分。</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4、引擎需要适应中小学不同年龄段的学生的发音特点，评分合理、可信。</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五、提供制造厂商针对本项目的售后服务承诺书（加盖厂商公章）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交换机</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1.支持48个10/100/1000BASE-T电口,4个1000BASE-X SFP端口,支持AC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2.交换容量：496Gbps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3.包转发率：126Mpps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4.支持G.8032以太网环保护协议ERPS，切换时间≤50ms，可兼容其他支持该协议的产品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5.支持SNMP、支持RMON告警、事件、历史记录、支持iMC网管系统、支持NTP、支持命令行接口（CLI）配置、支持SSH2.0、支持FTP、支持TFTP</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6.端口防雷：10Kv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插线板</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6插位抗电涌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尺寸：≥250mm*98mm*39.6mm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最大电流：≥10A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额定电压：≥250V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功率：≥2500W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设备拆除</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旧设备拆除搬运到指定地点</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利旧桌椅检修</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利旧学生桌的导轨更换、各部位维修、清洁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网线</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六类非屏蔽双绞线</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材质：OFC/PVC</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线芯：23AWG纯铜芯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箱</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网络跳线</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传输带宽：≥250MHz</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传输速度：≥1000Mbps</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外被：环保PVC</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接口：镀金接口</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线芯：24AWG优质导体</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隔离：十字骨架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水晶头</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材质：环保PC</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接触铜片：三叉芯片</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网络标准：千兆网络</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接口类型：RJ45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盒</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电源线</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规格：BV4mm²</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绝缘层：PVC 抗老化，耐腐蚀</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导体：无氧铜</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电压：≥450/750V</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长度：≥100米</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盘</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桥架</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产品材质：镀锌</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尺寸：≥100*200mm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米</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镀锌管</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25镀锌管</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制造工艺：折弯、烧焊、打磨等工艺</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光滑度高、厚度均匀、性能稳定。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米</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86插座含底盒</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5孔10A含底盒</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机房新增点位综合布线</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含电源、网络桥架敷设、电源线、网线敷设，电源空开维护</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机房新增点位系统集成</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含电脑安装调试、网络调试、机房配套软件调试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机房原有点位集成辅料</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含软管、打标纸、自攻钉、胶布、胀栓、接地端子安装等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w:t>
            </w:r>
          </w:p>
        </w:tc>
      </w:tr>
      <w:tr>
        <w:tblPrEx>
          <w:tblLayout w:type="fixed"/>
          <w:tblCellMar>
            <w:top w:w="0" w:type="dxa"/>
            <w:left w:w="108" w:type="dxa"/>
            <w:bottom w:w="0" w:type="dxa"/>
            <w:right w:w="108" w:type="dxa"/>
          </w:tblCellMar>
        </w:tblPrEx>
        <w:trPr>
          <w:trHeight w:val="27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机房系统集成</w:t>
            </w:r>
          </w:p>
        </w:tc>
        <w:tc>
          <w:tcPr>
            <w:tcW w:w="8117"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含电脑安装调试、网络调试、机房配套软件调试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w:t>
            </w:r>
          </w:p>
        </w:tc>
      </w:tr>
    </w:tbl>
    <w:p>
      <w:pPr>
        <w:pStyle w:val="2"/>
        <w:ind w:left="-240" w:leftChars="-100" w:firstLine="0" w:firstLineChars="0"/>
        <w:rPr>
          <w:rFonts w:hint="eastAsia"/>
          <w:sz w:val="24"/>
          <w:szCs w:val="24"/>
          <w:lang w:val="en-US" w:eastAsia="zh-CN"/>
        </w:rPr>
      </w:pPr>
      <w:r>
        <w:rPr>
          <w:rFonts w:hint="eastAsia"/>
          <w:sz w:val="24"/>
          <w:szCs w:val="24"/>
          <w:lang w:val="en-US" w:eastAsia="zh-CN"/>
        </w:rPr>
        <w:t>第三包：京源学校计算机教室</w:t>
      </w:r>
    </w:p>
    <w:tbl>
      <w:tblPr>
        <w:tblStyle w:val="31"/>
        <w:tblW w:w="10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699"/>
        <w:gridCol w:w="7995"/>
        <w:gridCol w:w="615"/>
        <w:gridCol w:w="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799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主要规格参数、主要功能</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触控一体机</w:t>
            </w:r>
          </w:p>
        </w:tc>
        <w:tc>
          <w:tcPr>
            <w:tcW w:w="7995" w:type="dxa"/>
            <w:shd w:val="clear" w:color="auto" w:fill="FFFFFF"/>
            <w:vAlign w:val="top"/>
          </w:tcPr>
          <w:p>
            <w:pPr>
              <w:bidi w:val="0"/>
              <w:rPr>
                <w:rFonts w:hint="eastAsia" w:ascii="宋体" w:hAnsi="宋体" w:eastAsia="宋体" w:cs="宋体"/>
                <w:sz w:val="24"/>
                <w:szCs w:val="24"/>
              </w:rPr>
            </w:pPr>
            <w:r>
              <w:rPr>
                <w:rFonts w:hint="eastAsia" w:ascii="宋体" w:hAnsi="宋体" w:eastAsia="宋体" w:cs="宋体"/>
                <w:sz w:val="24"/>
                <w:szCs w:val="24"/>
              </w:rPr>
              <w:t>一、整机硬件</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整机显示尺寸≧86英寸，分辨率≥3840*2160，采用红外触控技术，在双系统下均支持≥40点同时触控；</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整机表面钢化玻璃厚度≤3.2mm，硬度可达莫氏7级；</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#整机前置标配HDMI输入≥1路, USB≥2路，Type-C≥1路，具有中文标识,后置标配VGA输入≥1路，HDMI输入≥2路，HDMI输出≥1路（提供截图，照片等证明文件并加盖投标人公章）；</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整机具有通屏笔槽结构，可放置书写笔、粉笔、水性笔等。</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#整机前置中文按键≥7个，可实现音量加减、窗口关闭、触控开关等功能，且按键均具备两种及以上明确的功能,具备前置针孔式电脑还原按键，并配有中文标识（提供截图，照片等证明文件并加盖投标人公章）；</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整机内置Wi-Fi6无线网卡，内置AP无线热点发射，内置蓝牙Bluetooth 5.4模块，支持连接外部蓝牙音箱播放音频；</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#无需打开整机背板，前置接口面板和前置按键面板支持单独前拆（提供第三方机构出具的相关检测报告复印件，并加盖投标人公章）；</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前置U盘接口需采用隐藏式设计，具有翻转式防护盖板，盖板高度≥4cm，盖板开合角度≥100°；</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整机扬声器功率≥60W；</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#整机具备≥12核芯片驱动， Android 系统版本≥14.0，内存≥8G，存储≥64G（提供截图，照片等证明文件并加盖投标人公章）；</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#内置高清5K摄像头，有效像素≥1900W，可输出最大分辨率5104*3864（提供第三方机构出具的相关检测报告复印件，并加盖投标人公章）；</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整机采用OPS-C 标准的80pin针口设计；</w:t>
            </w:r>
          </w:p>
          <w:p>
            <w:pPr>
              <w:bidi w:val="0"/>
              <w:rPr>
                <w:rFonts w:hint="eastAsia" w:ascii="宋体" w:hAnsi="宋体" w:eastAsia="宋体" w:cs="宋体"/>
                <w:sz w:val="24"/>
                <w:szCs w:val="24"/>
              </w:rPr>
            </w:pPr>
            <w:r>
              <w:rPr>
                <w:rFonts w:hint="eastAsia" w:ascii="宋体" w:hAnsi="宋体" w:eastAsia="宋体" w:cs="宋体"/>
                <w:sz w:val="24"/>
                <w:szCs w:val="24"/>
              </w:rPr>
              <w:t>二、教学软件</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提供符合教师授课场景的教学桌面教学系统,可将教师授课常用应用放至主页，单击即可打开应用，方便教师快捷调用软件；</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#应用页面采用分类模块显示，至少包含课件制作、教学工具、管理辅助、数字资源等，方便教师快速找到相应应用（提供截图，照片等证明文件并加盖投标人公章）；</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#教学软件支持多种登录方式，包含不局限于U盘登录、账号密码直接登录、微信扫码登录、手机验证码快捷登录、书写登录等，支持免登录打开本地课件（提供截图，照片等证明文件并加盖厂家公章）；</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软件提供个人云盘存储功能，注册免费获取不少于50GB云端存储空间；</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提供预置的课件素材，允许老师在网页端、移动端、电脑端进行内容的选择与组合，快速生成课件并浏览，所有制作的课件均实时保存至云端，老师只需登录即可查看；</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提供模块化的课件素材和教案，学科涵盖小学语文、初中语文、小学数学、初中数学、高中数学、小学英语、初中英语、小学科学、初中物理、初中化学等学科;</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提供语文生字卡片、英语生词卡片、化学工具编辑器、数学工具编辑器、物理仿真实验、英文手写识别等学课工具；</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20.</w:t>
            </w:r>
            <w:r>
              <w:rPr>
                <w:rFonts w:hint="eastAsia" w:ascii="宋体" w:hAnsi="宋体" w:eastAsia="宋体" w:cs="宋体"/>
                <w:sz w:val="24"/>
                <w:szCs w:val="24"/>
              </w:rPr>
              <w:t>双侧快捷键授课状态下具备多个教学辅助工具，包含截图、时钟、放大镜、聚光灯、黑屏、随机数、骰子和大转盘8种；</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软件在授课模式状态下支持多种笔形，颜色选择，笔形不少于9种，颜色不少于5种；</w:t>
            </w:r>
          </w:p>
          <w:p>
            <w:pPr>
              <w:bidi w:val="0"/>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支持免登录打开离线课件，直接进入课件全屏播放状态；登录后，可返回备课编辑状态；</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23.</w:t>
            </w:r>
            <w:r>
              <w:rPr>
                <w:rFonts w:hint="eastAsia" w:ascii="宋体" w:hAnsi="宋体" w:eastAsia="宋体" w:cs="宋体"/>
                <w:sz w:val="24"/>
                <w:szCs w:val="24"/>
              </w:rPr>
              <w:t>#内置黑板贴功能，可实现屏幕截图，实时语文、数学、外语、值日、通知等学科分类任务预留，截图操作灵活方便，支持手势拖拽边框缩放大小，可选择区域显示范围（提供截图，照片等证明文件并加盖投标人公章）；</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推拉绿板</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1、 结构：双层结构，内层为固定书写板，外层为滑动书写板，支持电子产品居中或一侧放置。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w:t>
            </w:r>
            <w:r>
              <w:rPr>
                <w:rFonts w:hint="eastAsia" w:ascii="宋体" w:hAnsi="宋体" w:eastAsia="宋体" w:cs="宋体"/>
                <w:sz w:val="24"/>
                <w:szCs w:val="24"/>
              </w:rPr>
              <w:t>参考规格≥：1300mm*4000mm</w:t>
            </w:r>
            <w:r>
              <w:rPr>
                <w:rFonts w:hint="eastAsia" w:ascii="宋体" w:hAnsi="宋体" w:eastAsia="宋体" w:cs="宋体"/>
                <w:kern w:val="0"/>
                <w:sz w:val="24"/>
                <w:szCs w:val="24"/>
              </w:rPr>
              <w:t>，高度可根据所配电子产品适当调整，确保与电子产品有效配套。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 板面：采用金属搪瓷书写板面，亚光、墨绿色，没有因黑板本身原因产生的眩光，书写流畅字迹清晰、色彩协调可视效果佳，有效的缓解学生视觉疲劳。可吸附磁钉、磁片，便于教学。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 背板：采用优质镀锌钢板，机械化流水线一次成型。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 覆板：采用自动化流水线覆板作业，避免人工作业刷胶不均导致粘贴不牢、起鼓等现象。甲醛释放量≤0.2mg/L，符合GB 28231-2011《书写板安全卫生要求》。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边框：采用高强度香槟色电泳铝合金型材，横框规格≥57mm×78mm，立框规格≥29mm×100mm。轨道上置隐藏式滑动系统，杜绝灰尘及杂物进入，结构性解决滑动受灰尘影响的问题。边框应具有良好的耐磨性及耐腐蚀性，耐腐蚀性CASS 72H不得低于10级。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粉尘槽：应配有宽度≥30mm的粉尘槽，粉尘槽应与滑动系统分离，不影响滑动板滑动。可放置书写笔、教鞭等教具，也可用于灰尘集中处理；粉尘槽采用U型结构以便于承载粉笔末等，应避免使用L型等开放式结构。粉尘槽应与边框一体式设计，以增加强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包角：采用抗老化高强度ABS工程塑料注塑成型，采用双壁成腔流线型设计，教学书写板品牌标识与包角一次模具成型，无尖角毛刺。当搭配电子产品为液晶屏时，包角应做可部分掰除设计，以更好的适配液晶屏厚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9、限位档：横框内部两侧安装限位档，避免滑动板推拉过程中撞击立框及夹手，禁止安装于立框。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10、滑轮：双组高精度轴承上吊轮，下平滑动系统，上下均匀安装，上部滑轮应采用包胶轮以减少噪音，下部设有滑块，滑块应做前后方向弹性设计以降低教学书写板书写颤动。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11、安全性：滑动板配装锁具，当不使用电子产品时，应可对教学书写板进行锁闭，避免课间学生误操作并保护设备。一把锁实现对滑动教学书写板的锁定，钥匙通用，方便实用。</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吸顶展台</w:t>
            </w:r>
          </w:p>
        </w:tc>
        <w:tc>
          <w:tcPr>
            <w:tcW w:w="7995" w:type="dxa"/>
            <w:shd w:val="clear" w:color="auto" w:fill="FFFFFF"/>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1.成像设备: 1/2.8英寸高品质CMOS传感器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2.总像素:500万最大分辨率≥1920x1080，输出帧率≥60帧/秒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3.视频输出:1080p60/50,1080i60/50,1080p30/25,720p60/50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4.输出接口: 支持HDMI，SDI，USB、有线LAN、无线LAN接口（5GWiFi模块可选）；SDI支持在1080P60格式下传输100米。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5.变焦:20倍光学变焦，10倍数码变焦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6.镜头转动</w:t>
            </w:r>
            <w:r>
              <w:rPr>
                <w:rFonts w:hint="eastAsia" w:ascii="宋体" w:hAnsi="宋体" w:cs="宋体"/>
                <w:i w:val="0"/>
                <w:iCs w:val="0"/>
                <w:color w:val="000000"/>
                <w:kern w:val="0"/>
                <w:sz w:val="24"/>
                <w:szCs w:val="24"/>
                <w:u w:val="none"/>
                <w:lang w:val="en-US" w:eastAsia="zh-CN" w:bidi="ar"/>
              </w:rPr>
              <w:t>范围</w:t>
            </w:r>
            <w:r>
              <w:rPr>
                <w:rFonts w:hint="eastAsia" w:ascii="宋体" w:hAnsi="宋体" w:eastAsia="宋体" w:cs="宋体"/>
                <w:i w:val="0"/>
                <w:iCs w:val="0"/>
                <w:color w:val="000000"/>
                <w:kern w:val="0"/>
                <w:sz w:val="24"/>
                <w:szCs w:val="24"/>
                <w:u w:val="none"/>
                <w:lang w:val="en-US" w:eastAsia="zh-CN" w:bidi="ar"/>
              </w:rPr>
              <w:t xml:space="preserve">:水平-170°～+170°俯仰-30°～+90°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7.聚焦: 自动/手动/一键聚焦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8.遥控器:中文遥控器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9.背光补偿:遥控器一键切换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10.调焦模式:手动/自动遥控器切换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11.图像亮度:遥控器可调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12.电子翻转:有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13.拍摄范围:A1画面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14.控制协议: VISCA/Pelco-D/Pelco-P；波特率：115200/9600/4800/2400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15.输入端子:VISCA*1RS422*1 RS485*1RS232*120.输出端子:HDMl*1US82.0*1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16.功耗:最大30W(DC12V时)22.操作温度:0~40℃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17.环境温度:-10-60℃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18.随机配件:AC电源适配器，R逐控器，操作说明书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19.需提供厂家售后服务承诺函原件（加盖厂家公章）。</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多媒体音箱</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1.音箱系统 2.0声道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2.有源音箱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3.调节方式：调节形式后旋钮调节，遥控器调节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4.额定功率≥120W；≥24W×2（高音）+≥36W×2（低音）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5.频率响应≥55Hz-20KHz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6.扬声器单元≥5.25英寸+直径25mm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7.信噪比≥85dB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8.分离度≥45dB</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多媒体线材及辅料</w:t>
            </w:r>
          </w:p>
        </w:tc>
        <w:tc>
          <w:tcPr>
            <w:tcW w:w="7995" w:type="dxa"/>
            <w:shd w:val="clear" w:color="auto" w:fill="FFFFFF"/>
            <w:vAlign w:val="center"/>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含高清线、音频线、电源线、网线、线槽及其他安装配件辅料等</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多媒体集成</w:t>
            </w:r>
          </w:p>
        </w:tc>
        <w:tc>
          <w:tcPr>
            <w:tcW w:w="7995" w:type="dxa"/>
            <w:shd w:val="clear" w:color="auto" w:fill="FFFFFF"/>
            <w:vAlign w:val="center"/>
          </w:tcPr>
          <w:p>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含多媒体设备布线、安装，大屏、黑板安装调试等</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多媒体桌</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1、外型尺寸：1100*780*1000；上体部分1100*780*350mm（长*宽*高）；下体部分800*650*650mm（长*宽*高）。讲台选用冷轧钢板1.0-1.5mm，数控设备精加工制作。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2、讲台桌面采用木质材料，防静电处理。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3、讲桌桌体采用双开式柜门设计。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4、显示器采用翻转式设计，翻转角度为0-130度，键盘采用翻转式设计，其中采用不锈钢十字铰链，实物展台采用抽拉式设计，隐藏放置于讲桌内。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5、支持中控，主机，DVD，功放音箱，实物展台等安装。</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台式计算机（核心产品）</w:t>
            </w:r>
          </w:p>
        </w:tc>
        <w:tc>
          <w:tcPr>
            <w:tcW w:w="7995" w:type="dxa"/>
            <w:shd w:val="clear" w:color="auto" w:fill="FFFFFF"/>
            <w:vAlign w:val="center"/>
          </w:tcPr>
          <w:p>
            <w:pPr>
              <w:numPr>
                <w:ilvl w:val="0"/>
                <w:numId w:val="0"/>
              </w:num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国产电脑</w:t>
            </w:r>
          </w:p>
          <w:p>
            <w:pPr>
              <w:numPr>
                <w:ilvl w:val="0"/>
                <w:numId w:val="0"/>
              </w:num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基本要求 国产自主品牌。</w:t>
            </w:r>
          </w:p>
          <w:p>
            <w:pPr>
              <w:keepNext w:val="0"/>
              <w:keepLines w:val="0"/>
              <w:widowControl/>
              <w:numPr>
                <w:ilvl w:val="0"/>
                <w:numId w:val="0"/>
              </w:numPr>
              <w:suppressLineNumbers w:val="0"/>
              <w:ind w:left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处理器 兼容</w:t>
            </w:r>
            <w:r>
              <w:rPr>
                <w:rFonts w:hint="eastAsia" w:ascii="宋体" w:hAnsi="宋体" w:eastAsia="宋体" w:cs="宋体"/>
                <w:kern w:val="0"/>
                <w:sz w:val="24"/>
                <w:szCs w:val="24"/>
                <w:lang w:val="en-US" w:eastAsia="zh-CN"/>
              </w:rPr>
              <w:t>X</w:t>
            </w:r>
            <w:r>
              <w:rPr>
                <w:rFonts w:hint="eastAsia" w:ascii="宋体" w:hAnsi="宋体" w:eastAsia="宋体" w:cs="宋体"/>
                <w:kern w:val="0"/>
                <w:sz w:val="24"/>
                <w:szCs w:val="24"/>
              </w:rPr>
              <w:t>86 指令集</w:t>
            </w:r>
            <w:r>
              <w:rPr>
                <w:rFonts w:hint="eastAsia" w:ascii="宋体" w:hAnsi="宋体" w:cs="宋体"/>
                <w:kern w:val="0"/>
                <w:sz w:val="24"/>
                <w:szCs w:val="24"/>
                <w:lang w:eastAsia="zh-CN"/>
              </w:rPr>
              <w:t>，</w:t>
            </w:r>
            <w:r>
              <w:rPr>
                <w:rFonts w:hint="eastAsia" w:ascii="宋体" w:hAnsi="宋体" w:eastAsia="宋体" w:cs="宋体"/>
                <w:kern w:val="0"/>
                <w:sz w:val="24"/>
                <w:szCs w:val="24"/>
              </w:rPr>
              <w:t>国产CPU，物理核心数≥8核，内核主频（非睿频）≥2.7GHz；</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3</w:t>
            </w:r>
            <w:r>
              <w:rPr>
                <w:rFonts w:hint="eastAsia" w:ascii="宋体" w:hAnsi="宋体" w:eastAsia="宋体" w:cs="宋体"/>
                <w:kern w:val="0"/>
                <w:sz w:val="24"/>
                <w:szCs w:val="24"/>
              </w:rPr>
              <w:t>、内存 ≥16GB DDR4 UDIMM内存，配置≥2个内存插槽；</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4</w:t>
            </w:r>
            <w:r>
              <w:rPr>
                <w:rFonts w:hint="eastAsia" w:ascii="宋体" w:hAnsi="宋体" w:eastAsia="宋体" w:cs="宋体"/>
                <w:kern w:val="0"/>
                <w:sz w:val="24"/>
                <w:szCs w:val="24"/>
              </w:rPr>
              <w:t>、显卡 ≥2G独立显卡，另支持集成显卡，支持VGA+HDMI视频输出显示，默认独显输出；</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5</w:t>
            </w:r>
            <w:r>
              <w:rPr>
                <w:rFonts w:hint="eastAsia" w:ascii="宋体" w:hAnsi="宋体" w:eastAsia="宋体" w:cs="宋体"/>
                <w:kern w:val="0"/>
                <w:sz w:val="24"/>
                <w:szCs w:val="24"/>
              </w:rPr>
              <w:t>、硬盘 ≥</w:t>
            </w:r>
            <w:r>
              <w:rPr>
                <w:rFonts w:hint="eastAsia" w:ascii="宋体" w:hAnsi="宋体" w:eastAsia="宋体" w:cs="宋体"/>
                <w:kern w:val="0"/>
                <w:sz w:val="24"/>
                <w:szCs w:val="24"/>
                <w:lang w:val="en-US" w:eastAsia="zh-CN"/>
              </w:rPr>
              <w:t>256</w:t>
            </w:r>
            <w:r>
              <w:rPr>
                <w:rFonts w:hint="eastAsia" w:ascii="宋体" w:hAnsi="宋体" w:eastAsia="宋体" w:cs="宋体"/>
                <w:kern w:val="0"/>
                <w:sz w:val="24"/>
                <w:szCs w:val="24"/>
              </w:rPr>
              <w:t xml:space="preserve"> GB M.2接口NVME协议SSD，配置1块3.5寸1T机械硬盘，≥5400 RPM；</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6</w:t>
            </w:r>
            <w:r>
              <w:rPr>
                <w:rFonts w:hint="eastAsia" w:ascii="宋体" w:hAnsi="宋体" w:eastAsia="宋体" w:cs="宋体"/>
                <w:kern w:val="0"/>
                <w:sz w:val="24"/>
                <w:szCs w:val="24"/>
              </w:rPr>
              <w:t>、网络 1个RJ45 10/100/1000自适应以太网口；</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7</w:t>
            </w:r>
            <w:r>
              <w:rPr>
                <w:rFonts w:hint="eastAsia" w:ascii="宋体" w:hAnsi="宋体" w:eastAsia="宋体" w:cs="宋体"/>
                <w:kern w:val="0"/>
                <w:sz w:val="24"/>
                <w:szCs w:val="24"/>
              </w:rPr>
              <w:t>、接口扩展  配置≥8个USB 接口，其中前置USB3.0</w:t>
            </w:r>
            <w:r>
              <w:rPr>
                <w:rFonts w:hint="eastAsia" w:ascii="宋体" w:hAnsi="宋体" w:eastAsia="宋体" w:cs="宋体"/>
                <w:kern w:val="0"/>
                <w:sz w:val="24"/>
                <w:szCs w:val="24"/>
                <w:lang w:eastAsia="zh-CN"/>
              </w:rPr>
              <w:t>及以上接口不少于</w:t>
            </w:r>
            <w:r>
              <w:rPr>
                <w:rFonts w:hint="eastAsia" w:ascii="宋体" w:hAnsi="宋体" w:eastAsia="宋体" w:cs="宋体"/>
                <w:kern w:val="0"/>
                <w:sz w:val="24"/>
                <w:szCs w:val="24"/>
                <w:lang w:val="en-US" w:eastAsia="zh-CN"/>
              </w:rPr>
              <w:t>4个</w:t>
            </w:r>
            <w:r>
              <w:rPr>
                <w:rFonts w:hint="eastAsia" w:ascii="宋体" w:hAnsi="宋体" w:eastAsia="宋体" w:cs="宋体"/>
                <w:kern w:val="0"/>
                <w:sz w:val="24"/>
                <w:szCs w:val="24"/>
              </w:rPr>
              <w:t>；1个RJ45网口，1个HDMI接口，1个VGA接口，前置1组音频接口，后置1组音频接口；</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8</w:t>
            </w:r>
            <w:r>
              <w:rPr>
                <w:rFonts w:hint="eastAsia" w:ascii="宋体" w:hAnsi="宋体" w:eastAsia="宋体" w:cs="宋体"/>
                <w:kern w:val="0"/>
                <w:sz w:val="24"/>
                <w:szCs w:val="24"/>
              </w:rPr>
              <w:t xml:space="preserve">、易用性 </w:t>
            </w:r>
            <w:r>
              <w:rPr>
                <w:rFonts w:hint="eastAsia" w:ascii="宋体" w:hAnsi="宋体" w:cs="宋体"/>
                <w:kern w:val="0"/>
                <w:sz w:val="24"/>
                <w:szCs w:val="24"/>
                <w:lang w:val="en-US" w:eastAsia="zh-CN"/>
              </w:rPr>
              <w:t>方便</w:t>
            </w:r>
            <w:r>
              <w:rPr>
                <w:rFonts w:hint="eastAsia" w:ascii="宋体" w:hAnsi="宋体" w:eastAsia="宋体" w:cs="宋体"/>
                <w:kern w:val="0"/>
                <w:sz w:val="24"/>
                <w:szCs w:val="24"/>
              </w:rPr>
              <w:t>拆卸机箱；</w:t>
            </w:r>
            <w:r>
              <w:rPr>
                <w:rFonts w:hint="eastAsia" w:ascii="宋体" w:hAnsi="宋体" w:eastAsia="宋体" w:cs="宋体"/>
                <w:color w:val="FF0000"/>
                <w:kern w:val="0"/>
                <w:sz w:val="24"/>
                <w:szCs w:val="24"/>
              </w:rPr>
              <w:br w:type="textWrapping"/>
            </w:r>
            <w:r>
              <w:rPr>
                <w:rFonts w:hint="eastAsia" w:ascii="宋体" w:hAnsi="宋体" w:cs="宋体"/>
                <w:kern w:val="0"/>
                <w:sz w:val="24"/>
                <w:szCs w:val="24"/>
                <w:lang w:val="en-US" w:eastAsia="zh-CN"/>
              </w:rPr>
              <w:t>9</w:t>
            </w:r>
            <w:r>
              <w:rPr>
                <w:rFonts w:hint="eastAsia" w:ascii="宋体" w:hAnsi="宋体" w:eastAsia="宋体" w:cs="宋体"/>
                <w:kern w:val="0"/>
                <w:sz w:val="24"/>
                <w:szCs w:val="24"/>
              </w:rPr>
              <w:t>、数据安全 支持出厂备份还原、全盘备份还原和分区备份还原等功能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、质控水平 MTBF≥30000</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小时；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w:t>
            </w:r>
            <w:r>
              <w:rPr>
                <w:rFonts w:hint="eastAsia" w:ascii="宋体" w:hAnsi="宋体" w:cs="宋体"/>
                <w:kern w:val="0"/>
                <w:sz w:val="24"/>
                <w:szCs w:val="24"/>
                <w:lang w:val="en-US" w:eastAsia="zh-CN"/>
              </w:rPr>
              <w:t>1</w:t>
            </w:r>
            <w:r>
              <w:rPr>
                <w:rFonts w:hint="eastAsia" w:ascii="宋体" w:hAnsi="宋体" w:eastAsia="宋体" w:cs="宋体"/>
                <w:kern w:val="0"/>
                <w:sz w:val="24"/>
                <w:szCs w:val="24"/>
              </w:rPr>
              <w:t>、显示器 支持壁挂，≥23.8寸，分辨率1920*1080，≥1个HDMI</w:t>
            </w:r>
            <w:r>
              <w:rPr>
                <w:rFonts w:hint="eastAsia" w:ascii="宋体" w:hAnsi="宋体" w:eastAsia="宋体" w:cs="宋体"/>
                <w:kern w:val="0"/>
                <w:sz w:val="24"/>
                <w:szCs w:val="24"/>
                <w:lang w:eastAsia="zh-CN"/>
              </w:rPr>
              <w:t>及一其他接口</w:t>
            </w:r>
            <w:r>
              <w:rPr>
                <w:rFonts w:hint="eastAsia" w:ascii="宋体" w:hAnsi="宋体" w:eastAsia="宋体" w:cs="宋体"/>
                <w:kern w:val="0"/>
                <w:sz w:val="24"/>
                <w:szCs w:val="24"/>
              </w:rPr>
              <w:t>，且接口在下方，刷新率≥60HZ，支持低蓝光；</w:t>
            </w:r>
            <w:r>
              <w:rPr>
                <w:rFonts w:hint="eastAsia" w:ascii="宋体" w:hAnsi="宋体" w:eastAsia="宋体" w:cs="宋体"/>
                <w:color w:val="FF0000"/>
                <w:kern w:val="0"/>
                <w:sz w:val="24"/>
                <w:szCs w:val="24"/>
              </w:rPr>
              <w:br w:type="textWrapping"/>
            </w:r>
            <w:r>
              <w:rPr>
                <w:rFonts w:hint="eastAsia" w:ascii="宋体" w:hAnsi="宋体" w:eastAsia="宋体" w:cs="宋体"/>
                <w:kern w:val="0"/>
                <w:sz w:val="24"/>
                <w:szCs w:val="24"/>
              </w:rPr>
              <w:t>1</w:t>
            </w:r>
            <w:r>
              <w:rPr>
                <w:rFonts w:hint="eastAsia" w:ascii="宋体" w:hAnsi="宋体" w:cs="宋体"/>
                <w:kern w:val="0"/>
                <w:sz w:val="24"/>
                <w:szCs w:val="24"/>
                <w:lang w:val="en-US" w:eastAsia="zh-CN"/>
              </w:rPr>
              <w:t>2</w:t>
            </w:r>
            <w:r>
              <w:rPr>
                <w:rFonts w:hint="eastAsia" w:ascii="宋体" w:hAnsi="宋体" w:eastAsia="宋体" w:cs="宋体"/>
                <w:kern w:val="0"/>
                <w:sz w:val="24"/>
                <w:szCs w:val="24"/>
              </w:rPr>
              <w:t>、键鼠 配置一套</w:t>
            </w:r>
            <w:r>
              <w:rPr>
                <w:rFonts w:hint="eastAsia" w:ascii="宋体" w:hAnsi="宋体" w:eastAsia="宋体" w:cs="宋体"/>
                <w:kern w:val="0"/>
                <w:sz w:val="24"/>
                <w:szCs w:val="24"/>
                <w:lang w:eastAsia="zh-CN"/>
              </w:rPr>
              <w:t>原厂</w:t>
            </w:r>
            <w:r>
              <w:rPr>
                <w:rFonts w:hint="eastAsia" w:ascii="宋体" w:hAnsi="宋体" w:eastAsia="宋体" w:cs="宋体"/>
                <w:kern w:val="0"/>
                <w:sz w:val="24"/>
                <w:szCs w:val="24"/>
              </w:rPr>
              <w:t>有线USB接口的键盘鼠标；</w:t>
            </w:r>
          </w:p>
          <w:p>
            <w:pPr>
              <w:keepNext w:val="0"/>
              <w:keepLines w:val="0"/>
              <w:widowControl/>
              <w:numPr>
                <w:ilvl w:val="0"/>
                <w:numId w:val="0"/>
              </w:numPr>
              <w:suppressLineNumbers w:val="0"/>
              <w:ind w:leftChars="0"/>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r>
              <w:rPr>
                <w:rFonts w:hint="eastAsia" w:ascii="宋体" w:hAnsi="宋体" w:eastAsia="宋体" w:cs="宋体"/>
                <w:i w:val="0"/>
                <w:iCs w:val="0"/>
                <w:color w:val="000000"/>
                <w:kern w:val="0"/>
                <w:sz w:val="24"/>
                <w:szCs w:val="24"/>
                <w:u w:val="none"/>
                <w:lang w:val="en-US" w:eastAsia="zh-CN" w:bidi="ar"/>
              </w:rPr>
              <w:t>需提供厂家售后服务承诺函原件（加盖厂家公章）。</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操作系统</w:t>
            </w:r>
          </w:p>
        </w:tc>
        <w:tc>
          <w:tcPr>
            <w:tcW w:w="7995" w:type="dxa"/>
            <w:shd w:val="clear" w:color="auto" w:fill="FFFFFF"/>
            <w:vAlign w:val="top"/>
          </w:tcPr>
          <w:p>
            <w:pPr>
              <w:keepNext w:val="0"/>
              <w:keepLines w:val="0"/>
              <w:widowControl/>
              <w:suppressLineNumbers w:val="0"/>
              <w:jc w:val="left"/>
              <w:textAlignment w:val="top"/>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国产操作系统</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1、操作系统软件具有应用商店，应用商店可提供教育行业应用商店，可提供系统截图证明；</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2、操作系统软件默认安装操作系统原厂青少年上网保护插件，对低俗垃圾广告拦截、不良内容拦截、跨网站跟踪用户信息链接。需提供系统截图证明与青少年上网保护软件著作登记证书。</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3、智能上网保护：支持在线网页中低俗广告拦截、支持在线网页中性感图片、性感视频拦截、支持在线查阅广告拦截统计、不良内容拦截统计、支持在线对网上有害信息举报</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4、智能护眼健康：提供专业眼保健操视频、提供护眼屏保、提供护眼色温调节、提供休息提醒</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AI智能助手：系统集成AI功能，支持主流国产AI大模型，包括百度千帆、讯飞星火、360智脑与智谱等。支持使用文字或者语音输入的方式多模态的输入与输出。支持通过AI进行问答和内容生成，解决疑问解答、语言学习、创意写作等具体问题，助力高效学习和工作。</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操作系统系统支持保障安全升级的自动主备双根分区以及备份分区，并且在系统中有双根分区和备份分区标识（如：RootA和RootB、Recovery/Backup标识符），在系统升级后支持回滚、备份还原，并保留用户个人数据，提供功能截图证明。</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办公软件</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1、操作习惯兼容：软件界面与微软office界面在菜单排布和功能界面的操作使用上保持相似；</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2、界面样式多样性：支持窗口多组件/整合模式，支持进行单窗口多标签的拆分与组合，在多窗口模式下支持在系统任务栏显示多主窗口；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3、支持主题外观皮肤选择；</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4、具备文字、表格、演示各组建基础模板，便于教职工编辑文档直接使用；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5、支持在表格中一键插入求和、计数、平均值等常用函数公式。支持多列数据合并操作。支持单元格数据的循环引用；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6、文字、表格、演示模块均支持图形、图片对象各类属性的即时预览，如图形填充色、线条样式、线条粗细、线条虚实、箭头样式及阴影、映像、发光效果的即时预览；</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7、演示模块插入音频视频文件后在本应用中即可播放多媒体文件，无需调用其他播放软件，并且提供多种播放模式供选择。</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8、在文字、演示模块中选择插入表格操作时，浮框支持即时预览插入效果；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9、在文字模块，右键插入行数的手动输入，便于一次性插入多行；</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10、在演示模块，表格可以选择表格样式，选择样式即可预览样式效果；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11、表格模块中支持数据自动生成柱形图、折线图、饼状图、条形图、面积图、xy散点图、股价图、雷达图、组合图等形式，各种类型之间可方便转换。支持图表定位到单元格中；</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12、格式兼容性：办公软件能生成.wps/.et/.dps等文件格式。双向兼容：各功能模块与微软 Office的Word、Excel、Powerpoint 三个功能模块相互兼容，支持格式包括且不限于 doc、docx、xls、xlsx、ppt、pptx、pdf、txt、xml。</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13、支持档修复：需支持修复打不开或损坏的文档，文档格式需支持Word/Excel/PPT/非纯图的PDF等；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14、文字模块支持智能目录导航，自动识别文档结构，实时调整文档目录；标题格式不用调整样式，也可智能自动生成目录；</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15、表格模块支持表格快速合并选择，支持教师一键选择合并居中、合并单元格、合并相同单元格、合并内容、取消合并单元格、拆分并填充内容；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16、演示模块，支持手机移动OFFICE客户端进行控制PC端OFFICE放映的演示文档，实现把手机变成遥控器，便于演讲人能随时切换演示文档。</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桌面云管理系统</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1、采用中央服务器管理模式，服务端支持主流的国产硬件平台和国产操作系统（UOS、kylin等），通过一台服务器管理不同品牌、不同架构的终端和主流操作系统。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2、软件负载要求：单台入门级服务器（或主流PC）可管理客户端≥600台；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3、管理系统可以统计终端用户数量、终端数量、虚拟磁盘数量和镜像数量等信息，同时可以统计服务器信息、CPU、内存及硬盘的使用率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端授权采用数量授权方式，不绑定终端硬件信息，可以在终端设备发生故障时，在不超过授权数量的情况下，可以随意替换损坏的终端，不需要和厂商再次申请授权的过程，减少因为设备损坏时申请授权的等待时间，及时的恢复教学环境的正常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5、系统服务端集成不同硬件架构的底层系统、客户端程序及数据库导入导出工具等，维护人员根据需求可以直接从服务端进行下载，无需找原始安装文件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6、具有独立的前端可视化管理平台，并且只有执行权限，管理员可以根据需求，提前设定好的指令和策略的操作模块，减少一线操作员的误操作几率的发生。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7、在受保护的系统或分区中，可以自定义某个文件夹内的所有内容，不进行还原，即保护了系统，也可以对一些特殊的应用程序特有的属性进行独立保护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8、系统支持软、硬件异构融合功能，相同硬件架构不同配置的终端可以使用同一镜像进行下发部署。</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机房互动软件</w:t>
            </w:r>
          </w:p>
        </w:tc>
        <w:tc>
          <w:tcPr>
            <w:tcW w:w="7995" w:type="dxa"/>
            <w:shd w:val="clear" w:color="auto" w:fill="FFFFFF"/>
            <w:vAlign w:val="center"/>
          </w:tcPr>
          <w:p>
            <w:pPr>
              <w:widowControl/>
              <w:numPr>
                <w:ilvl w:val="0"/>
                <w:numId w:val="0"/>
              </w:numPr>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共享白板：系统支持导入图片创建白板内容，将白板内容共享给学生，教师可以选择某个学生控制老师的白板内容实现共同交互答题。教师也可以允许学生个人绘画模式在老师导入的素材白板内容基础上独立完成学习任务，教师可以监看所有学生的完成情况，同时可以把指定学生绘画的白板内容分享给其他同学欣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2、支持loongnix、UOS、Kylin、方德操作系统。</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3、试卷编辑：教师可通过答题卡编辑器插入图片，直接生成答题卡用于学生作答，试题类型包含选择题、判断题、填空题、论述题和手写题。教师可在答题卡中为客观题设置正确答案，为主观题设置参考答案。</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4、快速考试：教师可使用快速答题卡用于学生作答，输入考试名称、考试时间、试题类型、试题数量和试题分数即可快速发起考试，试题类型包含选择题、判断题、填空题、论述题和手写题。</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5、自定义考试：教师可使用自定义答题卡，将通过答题卡编辑器创建的答题卡导入试卷，分发给学生即可开始考试。开始考试后，教师可查看学生的答题进度。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6、阅卷评分：考试结束后自动弹出评分界面，客观题可自动评分，教师只需对主观题进行手动评分，支持将考试评分结果发送给相应的学生，并支持将考试评分结果以网页形式导出到本地。</w:t>
            </w:r>
            <w:r>
              <w:rPr>
                <w:rFonts w:hint="eastAsia" w:ascii="宋体" w:hAnsi="宋体" w:eastAsia="宋体" w:cs="宋体"/>
                <w:color w:val="FF0000"/>
                <w:kern w:val="0"/>
                <w:sz w:val="24"/>
                <w:szCs w:val="24"/>
              </w:rPr>
              <w:br w:type="textWrapping"/>
            </w:r>
            <w:r>
              <w:rPr>
                <w:rFonts w:hint="eastAsia" w:ascii="宋体" w:hAnsi="宋体" w:eastAsia="宋体" w:cs="宋体"/>
                <w:kern w:val="0"/>
                <w:sz w:val="24"/>
                <w:szCs w:val="24"/>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抢答和竞答：组织全体或分组的快速抢答问题，有抢答口述回复、抢答文字回复、抢答屏幕转播回复三种方式，抢答对错后老师可以选择五角星+数字的方式给予学生相应奖励结果，并可根据题目的难易程度给出不同的分值，竞赛支持同一小组内排名。（提供功能截图并加盖</w:t>
            </w:r>
            <w:r>
              <w:rPr>
                <w:rFonts w:hint="eastAsia" w:ascii="宋体" w:hAnsi="宋体" w:eastAsia="宋体" w:cs="宋体"/>
                <w:kern w:val="0"/>
                <w:sz w:val="24"/>
                <w:szCs w:val="24"/>
                <w:lang w:val="en-US" w:eastAsia="zh-CN"/>
              </w:rPr>
              <w:t>生产厂家</w:t>
            </w:r>
            <w:r>
              <w:rPr>
                <w:rFonts w:hint="eastAsia" w:ascii="宋体" w:hAnsi="宋体" w:eastAsia="宋体" w:cs="宋体"/>
                <w:kern w:val="0"/>
                <w:sz w:val="24"/>
                <w:szCs w:val="24"/>
              </w:rPr>
              <w:t>公章）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8、扩展屏广播模式：教师机连接两个显示器，可在广播时选择将任意一个显示器的内容广播到学生机。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网络影院：采用流媒体技术，可实现教师机播放的视频同步无延时广播到学生机，学生无需下载该文件，教师也无需共享该文件。支持VCD、DVD、AVI等主流文件格式，支持720p、1080p高清视频。网络快照：教师可以在监控学生的时候，对学生画面拍快照或者录制，保存学生画面的截图或桌面视频。</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10、签到：提供学生名单管理工具，为软件和考试模块提供实名验证。提供点名功能，支持保留学生多次登录记录、考勤统计、签到信息的导出与对比，支持csv 格式的导出。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11、分组讨论：可以进行教师将学生分组，同组的组员可以相互讨论，教师可以参加任意组的讨论。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13、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14、自动锁屏：独有的断线保护自动锁屏技术，通过网卡的是否激活来锁定屏幕，避免学生拔掉网线违反纪律。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15、防杀进程：为安全起见，学生端程序运行后，防止学生通过任务管理器结束学生端程序进程来逃脱教师控制。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16、请求帮助：学生端遇到问题可请求帮助，教师端可远程遥控帮助学生解决问题。</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17、远程消息：教师与学生能够使用远程消息进行交流，并可以允许和阻止学生发送文字消息。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18、黑屏肃静：教师可以对单一、部分、全体学生执行或解除黑屏操作，教师可自定义黑屏的内容与图片。</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19、键鼠禁用：教师可以对单一、部分、全体学生禁用键鼠操作，禁用时学生端鼠标和键盘被锁定，学生无法进行任何操作。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20、远程命令：教师可进行远程打开网页、开机、关机、重启、关闭应用程序等操作。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#21、视图模式：软件提供监控视图、详细信息视图、策略视图、文件提交视图、答题卡视图、抢答竞赛视图、共享白板视图。（厂家提供CSTC标识的软件评测中心检测报告并加盖</w:t>
            </w:r>
            <w:r>
              <w:rPr>
                <w:rFonts w:hint="eastAsia" w:ascii="宋体" w:hAnsi="宋体" w:cs="宋体"/>
                <w:kern w:val="0"/>
                <w:sz w:val="24"/>
                <w:szCs w:val="24"/>
                <w:lang w:val="en-US" w:eastAsia="zh-CN"/>
              </w:rPr>
              <w:t>生产厂家</w:t>
            </w:r>
            <w:r>
              <w:rPr>
                <w:rFonts w:hint="eastAsia" w:ascii="宋体" w:hAnsi="宋体" w:eastAsia="宋体" w:cs="宋体"/>
                <w:kern w:val="0"/>
                <w:sz w:val="24"/>
                <w:szCs w:val="24"/>
              </w:rPr>
              <w:t>公章）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22、另具备屏幕广播、学生演示、网络影院、远程开关机、远程命令、屏幕监看、举手、发言、防杀进程、黑屏肃静、文件分发、文件收集等功能。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#23、加密方式：系统可进行在线序列号加密和离线文件加密。（厂家提供CSTC标识的软件评测中心检测报告并加盖</w:t>
            </w:r>
            <w:r>
              <w:rPr>
                <w:rFonts w:hint="eastAsia" w:ascii="宋体" w:hAnsi="宋体" w:cs="宋体"/>
                <w:kern w:val="0"/>
                <w:sz w:val="24"/>
                <w:szCs w:val="24"/>
                <w:lang w:val="en-US" w:eastAsia="zh-CN"/>
              </w:rPr>
              <w:t>生产厂家</w:t>
            </w:r>
            <w:r>
              <w:rPr>
                <w:rFonts w:hint="eastAsia" w:ascii="宋体" w:hAnsi="宋体" w:eastAsia="宋体" w:cs="宋体"/>
                <w:kern w:val="0"/>
                <w:sz w:val="24"/>
                <w:szCs w:val="24"/>
              </w:rPr>
              <w:t>公章）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24、多教室同时授课时系统登录支持学生端选择在线的任意老师端进入授课方式。</w:t>
            </w:r>
            <w:r>
              <w:rPr>
                <w:rFonts w:hint="eastAsia" w:ascii="宋体" w:hAnsi="宋体" w:eastAsia="宋体" w:cs="宋体"/>
                <w:color w:val="FF0000"/>
                <w:kern w:val="0"/>
                <w:sz w:val="24"/>
                <w:szCs w:val="24"/>
              </w:rPr>
              <w:br w:type="textWrapping"/>
            </w:r>
            <w:r>
              <w:rPr>
                <w:rFonts w:hint="eastAsia" w:ascii="宋体" w:hAnsi="宋体" w:cs="宋体"/>
                <w:color w:val="000000"/>
                <w:kern w:val="0"/>
                <w:sz w:val="24"/>
                <w:szCs w:val="24"/>
                <w:lang w:val="en-US" w:eastAsia="zh-CN"/>
              </w:rPr>
              <w:t>#</w:t>
            </w:r>
            <w:r>
              <w:rPr>
                <w:rFonts w:hint="eastAsia" w:ascii="宋体" w:hAnsi="宋体" w:eastAsia="宋体" w:cs="宋体"/>
                <w:kern w:val="0"/>
                <w:sz w:val="24"/>
                <w:szCs w:val="24"/>
              </w:rPr>
              <w:t>25、客户端策略限制：具有客户端自行断网后自动启用断网锁屏功能、主控端通过黑白名单功能开启网页限制功能、主控端还可以开启对学生电脑的U盘限制功能。</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厂家提供功能截图并加盖生产厂家公章）</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系统具有CSTC软件评测中心的“软件产品检测报告”。</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1.支持48个10/100/1000BASE-T电口,4个1000BASE-X SFP端口,支持AC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2.交换容量：496Gbps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3.包转发率：126Mpps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4.支持G.8032以太网环保护协议ERPS，切换时间≤50ms，可兼容其他支持该协议的产品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5.支持SNMP、支持RMON告警、事件、历史记录、支持iMC网管系统、支持NTP、支持命令行接口（CLI）配置、支持SSH2.0、支持FTP、支持TFTP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6.端口防雷：10Kv</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材质：优质冷轧钢板，静电喷塑，防锈磷化。；护等级:IP20；厚度：≥0.7；容量：22U；尺寸：1200mm*600mm*600mm；机柜内有PDU插座</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网线</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六类非屏蔽双绞线；材质：OFC/PVC；线芯：23AWG纯铜芯</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网络配线架</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端口：≥24口；重量：≥0.89kg；插拔：≥750次；端接：≥250次；尺寸：≥480mm*44.5mm</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网络理线器</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产品材质：spcc冷轧钢板；端口：≥24口；工艺：锻压、粉末电镀；颜色：黑色</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网络跳线</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传输带宽：≥250MHz；传输速度：≥1000Mbps；外被：环保PVC；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接口：镀金接口；线芯：24AWG优质导体；隔离：十字骨架</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水晶头</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材质：环保PC；接触铜片：三叉芯片；网络标准：千兆网络；接口类型：RJ45</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规格：BV4mm²；绝缘层：PVC 抗老化，耐腐蚀；导体：无氧铜；电压：≥450/750V；长度：≥100米</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桥架</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产品材质：镀锌；尺寸：≥100*200mm</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25镀锌管；制造工艺：折弯、烧焊、打磨等工艺；光滑度高、厚度均匀、性能稳定。</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86插座含底盒</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5孔10A含底盒</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插线板</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6插位抗电涌；尺寸：≥250mm*98mm*39.6mm；最大电流：≥10A；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额定电压：≥250V；功率：≥2500W</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防静电地板</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规格：≥600mm*600mm*35mm；材质：陶瓷面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采用优质一级冷轧钢板拉伸成型点焊，上层采用冷轧钢板，下层采用优质抗拉钢板冲压形成，两层经过冲压形成钢壳，钢壳内填充发泡水泥；表面采用耐磨防静电陶瓷面，四周镶嵌导电条。</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77.76</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防静电地板配件</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地板支柱配件、包边、包角等</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77.76</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地板安装</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防静电地板安装敷设</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77.76</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设备拆除</w:t>
            </w:r>
          </w:p>
        </w:tc>
        <w:tc>
          <w:tcPr>
            <w:tcW w:w="7995" w:type="dxa"/>
            <w:shd w:val="clear" w:color="auto" w:fill="FFFFFF"/>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旧设备拆除搬运到指定地点</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双人学生桌</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1、二人位：L1400×W600×H760mm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2、桌面采用25毫米三聚氰胺板（两侧材质为PVC封边），面材采用优质三聚氰胺板，甲醛释放达到国家E1级环保要求。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3、桌体桌面前沿支撑骨架采用冷轧钢板折弯而成，壁厚大于1mm，表面经酸洗、磷化防腐防锈处理后静电喷塑。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腿采用蝴蝶型钢脚，钢管为1.2mm。中间为1.0mm冷轧钢板，高度725mm，底部配有隐形可敲漏50mm进线孔，配有尼龙可调节脚，耐用防滑。侧置纵向主机机箱，坚固耐用，结构牢固美观，经过除油、酸洗、磷化、打磨、静电喷塑。桌体精致美观，同时增强主机通风散热效果。</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三人学生桌</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1、三人位：L2100×W600×H760mm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2、桌面采用25毫米三聚氰胺板（两侧材质为PVC封边），面材采用优质三聚氰胺板，甲醛释放达到国家E1级环保要求。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3、桌体桌面前沿支撑骨架采用冷轧钢板折弯而成，壁厚大于1mm，表面经酸洗、磷化防腐防锈处理后静电喷塑。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腿采用蝴蝶型钢脚，钢管为1.2mm。中间为1.0mm冷轧钢板，高度725mm，底部配有隐形可敲漏50mm进线孔，配有尼龙可调节脚，耐用防滑。侧置纵向主机机箱，坚固耐用，结构牢固美观，经过除油、酸洗、磷化、打磨、静电喷塑。桌体精致美观，同时增强主机通风散热效果。</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学生凳</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规格：340×240×440mm，钢木结构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凳面：采用E1级25mm厚三聚氰胺板,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框架采用25×25×1.0mm 优质方管。经过除油、酸洗、磷化、打磨、静电喷塑。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封边：截面采用优质PVC封条机械封边.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工艺：钢制框架，所有焊接部位均采用二氧化碳保护焊接工艺。</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教师椅</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椅面：织物材料；支架：钢架结构；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尺寸：≥宽：600mm*深：640mm*高：950-1030mm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重量：≤12.7Kg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可根据用户需求定制</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根据用户实际需求定制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机壳材质：优质冷轧钢板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内配有7个2P防漏电空气开关，1个3P电空气开关，1个防雷保护器。</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辅料</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含软管、打标纸、自攻钉、胶布、胀栓、接地端子、管卡子安装等</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机房综合布线</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含电源、网络桥架敷设、电源线、网线敷设，电源空开维护</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机房系统集成</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含电脑安装调试、网络调试、机房配套软件调试</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接地铜排</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铜排30mm*3mm，优选T2紫铜排，导电佳，发热低，</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接地铜排铺设</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铜排接地装置制作安装，Φ8的绝缘子固定安装</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地板支架、机位设备等电位跨接</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机房设备等电位跨接</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等电位端子箱</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等电位联结端 ，配镀锡紫铜</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主筋剔除及恢复</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采用40*4mm扁铁与主筋焊接，并引入等电位端子箱，在端子箱内采用30×3㎜的铜排与等电位连接网络相连</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防雷装置检测</w:t>
            </w:r>
          </w:p>
        </w:tc>
        <w:tc>
          <w:tcPr>
            <w:tcW w:w="7995" w:type="dxa"/>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1信息技术设备的等电位连接应符合GB50057-2010中第6.3.1条、第6.3.3条和第6.3.4条的相关要求。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2等电位连接导线和连接到接地装置的导体的最小截面应符合GB50057-2010中表5.1.2中的要求。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检查和测试：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1检查信息技术设备、系统与建筑物共用接地系统的连接，应检查连接的基本形式，并进一步检查连接质量，连接导体的数量、材料和尺寸等。具体如下：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2检查信息技术设备、系统等电位连接端子、接地干线、预留局部等电位端子等的设置及其连接状况。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3检查信息技术设备、系统等电位连接网络的结构型式、材料规格、安装方式及工艺。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4测量信息技术设备、系统等电位连接网络与建筑物的各接地系统之间的连接电阻值以及设备金属外壳与共用接地系统之间的过渡电阻。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5按信息技术设备、系统等电位连接网络的结构型式，测量与等电位连接带（或端子板）之间的连接电阻值：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6检测信息技术设备与等电位连接网络的连接质量，连接导体的数量、材料和尺寸等。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7等电位连接的电阻值要求：防雷等电位连接的过渡电阻值应不大于国家标准。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检测资质：检测企业具备：雷电防护装置检测资质证</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校园模考系统学生耳机</w:t>
            </w:r>
          </w:p>
        </w:tc>
        <w:tc>
          <w:tcPr>
            <w:tcW w:w="7995" w:type="dxa"/>
            <w:shd w:val="clear" w:color="auto" w:fill="FFFFFF"/>
            <w:vAlign w:val="top"/>
          </w:tcPr>
          <w:p>
            <w:pPr>
              <w:bidi w:val="0"/>
              <w:rPr>
                <w:rFonts w:hint="eastAsia" w:ascii="宋体" w:hAnsi="宋体" w:eastAsia="宋体" w:cs="宋体"/>
                <w:sz w:val="24"/>
                <w:szCs w:val="24"/>
              </w:rPr>
            </w:pPr>
            <w:r>
              <w:rPr>
                <w:rFonts w:hint="eastAsia" w:ascii="宋体" w:hAnsi="宋体" w:eastAsia="宋体" w:cs="宋体"/>
                <w:sz w:val="24"/>
                <w:szCs w:val="24"/>
              </w:rPr>
              <w:t>1.双头梁耳麦，头梁自适应调节，佩戴时无需手动调整。包耳式耳罩，隔音效果良好，耳罩可拆卸更换。耳麦整体无音量调节旋钮或按钮。</w:t>
            </w:r>
          </w:p>
          <w:p>
            <w:pPr>
              <w:bidi w:val="0"/>
              <w:rPr>
                <w:rFonts w:hint="eastAsia" w:ascii="宋体" w:hAnsi="宋体" w:eastAsia="宋体" w:cs="宋体"/>
                <w:sz w:val="24"/>
                <w:szCs w:val="24"/>
              </w:rPr>
            </w:pPr>
            <w:r>
              <w:rPr>
                <w:rFonts w:hint="eastAsia" w:ascii="宋体" w:hAnsi="宋体" w:eastAsia="宋体" w:cs="宋体"/>
                <w:sz w:val="24"/>
                <w:szCs w:val="24"/>
              </w:rPr>
              <w:t>2.内置双声道声卡。主流操作系统免驱，即插即用。USB2.0接口，线长2.5米以上，具有抗干扰磁环，具有绿色LED指示灯。</w:t>
            </w:r>
          </w:p>
          <w:p>
            <w:pPr>
              <w:bidi w:val="0"/>
              <w:rPr>
                <w:rFonts w:hint="eastAsia" w:ascii="宋体" w:hAnsi="宋体" w:eastAsia="宋体" w:cs="宋体"/>
                <w:sz w:val="24"/>
                <w:szCs w:val="24"/>
              </w:rPr>
            </w:pPr>
            <w:r>
              <w:rPr>
                <w:rFonts w:hint="eastAsia" w:ascii="宋体" w:hAnsi="宋体" w:eastAsia="宋体" w:cs="宋体"/>
                <w:sz w:val="24"/>
                <w:szCs w:val="24"/>
              </w:rPr>
              <w:t>3.麦克风参数：超心型指向性；（麦克风位置具有方向指示标志）麦克风正对声源（0°）与背对（180°）声源时，拾取信号强度相差10dB以上；灵敏度：-35dB（±3dB）；频响：100Hz - 10kHz；信噪比：＞50dB；连接杆长度：≥18cm，旋转角度：＞120°。</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sz w:val="24"/>
                <w:szCs w:val="24"/>
              </w:rPr>
              <w:t>4.喇叭直径：40mm 钕铁硼喇叭；阻抗：32Ω（±15%）；灵敏度：108±3dB；频响：20Hz - 20kHz；功率：20mW。</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6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校园模考系统</w:t>
            </w:r>
          </w:p>
        </w:tc>
        <w:tc>
          <w:tcPr>
            <w:tcW w:w="7995" w:type="dxa"/>
            <w:shd w:val="clear" w:color="auto" w:fill="FFFFFF"/>
            <w:vAlign w:val="top"/>
          </w:tcPr>
          <w:p>
            <w:pPr>
              <w:bidi w:val="0"/>
              <w:rPr>
                <w:rFonts w:hint="eastAsia" w:ascii="宋体" w:hAnsi="宋体" w:eastAsia="宋体" w:cs="宋体"/>
                <w:sz w:val="24"/>
                <w:szCs w:val="24"/>
              </w:rPr>
            </w:pPr>
            <w:r>
              <w:rPr>
                <w:rFonts w:hint="eastAsia" w:ascii="宋体" w:hAnsi="宋体" w:eastAsia="宋体" w:cs="宋体"/>
                <w:sz w:val="24"/>
                <w:szCs w:val="24"/>
              </w:rPr>
              <w:t>一、考试管理客户端</w:t>
            </w:r>
          </w:p>
          <w:p>
            <w:pPr>
              <w:bidi w:val="0"/>
              <w:rPr>
                <w:rFonts w:hint="eastAsia" w:ascii="宋体" w:hAnsi="宋体" w:eastAsia="宋体" w:cs="宋体"/>
                <w:sz w:val="24"/>
                <w:szCs w:val="24"/>
              </w:rPr>
            </w:pPr>
            <w:r>
              <w:rPr>
                <w:rFonts w:hint="eastAsia" w:ascii="宋体" w:hAnsi="宋体" w:eastAsia="宋体" w:cs="宋体"/>
                <w:sz w:val="24"/>
                <w:szCs w:val="24"/>
              </w:rPr>
              <w:t>1.需支持同步老师创建的考试任务，包括未考试的和正在考试的任务。在系统中可以展示任务列表。</w:t>
            </w:r>
          </w:p>
          <w:p>
            <w:pPr>
              <w:bidi w:val="0"/>
              <w:rPr>
                <w:rFonts w:hint="eastAsia" w:ascii="宋体" w:hAnsi="宋体" w:eastAsia="宋体" w:cs="宋体"/>
                <w:sz w:val="24"/>
                <w:szCs w:val="24"/>
              </w:rPr>
            </w:pPr>
            <w:r>
              <w:rPr>
                <w:rFonts w:hint="eastAsia" w:ascii="宋体" w:hAnsi="宋体" w:eastAsia="宋体" w:cs="宋体"/>
                <w:sz w:val="24"/>
                <w:szCs w:val="24"/>
              </w:rPr>
              <w:t>2.需支持考试任务的下载，包括考试试卷和考生基础信息的下载。</w:t>
            </w:r>
          </w:p>
          <w:p>
            <w:pPr>
              <w:bidi w:val="0"/>
              <w:rPr>
                <w:rFonts w:hint="eastAsia" w:ascii="宋体" w:hAnsi="宋体" w:eastAsia="宋体" w:cs="宋体"/>
                <w:sz w:val="24"/>
                <w:szCs w:val="24"/>
              </w:rPr>
            </w:pPr>
            <w:r>
              <w:rPr>
                <w:rFonts w:hint="eastAsia" w:ascii="宋体" w:hAnsi="宋体" w:eastAsia="宋体" w:cs="宋体"/>
                <w:sz w:val="24"/>
                <w:szCs w:val="24"/>
              </w:rPr>
              <w:t>3.需支持启动监考机开始一场全真模拟测试。</w:t>
            </w:r>
          </w:p>
          <w:p>
            <w:pPr>
              <w:bidi w:val="0"/>
              <w:rPr>
                <w:rFonts w:hint="eastAsia" w:ascii="宋体" w:hAnsi="宋体" w:eastAsia="宋体" w:cs="宋体"/>
                <w:sz w:val="24"/>
                <w:szCs w:val="24"/>
              </w:rPr>
            </w:pPr>
            <w:r>
              <w:rPr>
                <w:rFonts w:hint="eastAsia" w:ascii="宋体" w:hAnsi="宋体" w:eastAsia="宋体" w:cs="宋体"/>
                <w:sz w:val="24"/>
                <w:szCs w:val="24"/>
              </w:rPr>
              <w:t>4.考试结束后，需支持进行答卷包完整性校验，上传考试状态数据和答卷包，并将数据传到服务器进行评测。</w:t>
            </w:r>
          </w:p>
          <w:p>
            <w:pPr>
              <w:bidi w:val="0"/>
              <w:rPr>
                <w:rFonts w:hint="eastAsia" w:ascii="宋体" w:hAnsi="宋体" w:eastAsia="宋体" w:cs="宋体"/>
                <w:sz w:val="24"/>
                <w:szCs w:val="24"/>
              </w:rPr>
            </w:pPr>
            <w:r>
              <w:rPr>
                <w:rFonts w:hint="eastAsia" w:ascii="宋体" w:hAnsi="宋体" w:eastAsia="宋体" w:cs="宋体"/>
                <w:sz w:val="24"/>
                <w:szCs w:val="24"/>
              </w:rPr>
              <w:t>5.考试任务详情中，需支持查看考试任务的基本信息，当前任务中所有考生的考试状态，包括已考、未考、考试失败等。</w:t>
            </w:r>
          </w:p>
          <w:p>
            <w:pPr>
              <w:bidi w:val="0"/>
              <w:rPr>
                <w:rFonts w:hint="eastAsia" w:ascii="宋体" w:hAnsi="宋体" w:eastAsia="宋体" w:cs="宋体"/>
                <w:sz w:val="24"/>
                <w:szCs w:val="24"/>
              </w:rPr>
            </w:pPr>
            <w:r>
              <w:rPr>
                <w:rFonts w:hint="eastAsia" w:ascii="宋体" w:hAnsi="宋体" w:eastAsia="宋体" w:cs="宋体"/>
                <w:sz w:val="24"/>
                <w:szCs w:val="24"/>
              </w:rPr>
              <w:t>二、监考程序</w:t>
            </w:r>
          </w:p>
          <w:p>
            <w:pPr>
              <w:bidi w:val="0"/>
              <w:rPr>
                <w:rFonts w:hint="eastAsia" w:ascii="宋体" w:hAnsi="宋体" w:eastAsia="宋体" w:cs="宋体"/>
                <w:sz w:val="24"/>
                <w:szCs w:val="24"/>
              </w:rPr>
            </w:pPr>
            <w:r>
              <w:rPr>
                <w:rFonts w:hint="eastAsia" w:ascii="宋体" w:hAnsi="宋体" w:eastAsia="宋体" w:cs="宋体"/>
                <w:sz w:val="24"/>
                <w:szCs w:val="24"/>
              </w:rPr>
              <w:t>1. 需支持考试过程监控，包括准备考试、开始试音、开始考试、结束考试；</w:t>
            </w:r>
          </w:p>
          <w:p>
            <w:pPr>
              <w:bidi w:val="0"/>
              <w:rPr>
                <w:rFonts w:hint="eastAsia" w:ascii="宋体" w:hAnsi="宋体" w:eastAsia="宋体" w:cs="宋体"/>
                <w:sz w:val="24"/>
                <w:szCs w:val="24"/>
              </w:rPr>
            </w:pPr>
            <w:r>
              <w:rPr>
                <w:rFonts w:hint="eastAsia" w:ascii="宋体" w:hAnsi="宋体" w:eastAsia="宋体" w:cs="宋体"/>
                <w:sz w:val="24"/>
                <w:szCs w:val="24"/>
              </w:rPr>
              <w:t>2.需支持监考机操作，输入考生座位号的方式，快速灵活调整学生考试座位号。</w:t>
            </w:r>
          </w:p>
          <w:p>
            <w:pPr>
              <w:bidi w:val="0"/>
              <w:rPr>
                <w:rFonts w:hint="eastAsia" w:ascii="宋体" w:hAnsi="宋体" w:eastAsia="宋体" w:cs="宋体"/>
                <w:sz w:val="24"/>
                <w:szCs w:val="24"/>
              </w:rPr>
            </w:pPr>
            <w:r>
              <w:rPr>
                <w:rFonts w:hint="eastAsia" w:ascii="宋体" w:hAnsi="宋体" w:eastAsia="宋体" w:cs="宋体"/>
                <w:sz w:val="24"/>
                <w:szCs w:val="24"/>
              </w:rPr>
              <w:t>3. 系统需支持答题同步，在所有学生完成同一个大题后才允许进入下一个大题，解决学生因为系统硬件配置、网络等因素影响或者使用多套试卷而导致的考试不同步情况。</w:t>
            </w:r>
          </w:p>
          <w:p>
            <w:pPr>
              <w:bidi w:val="0"/>
              <w:rPr>
                <w:rFonts w:hint="eastAsia" w:ascii="宋体" w:hAnsi="宋体" w:eastAsia="宋体" w:cs="宋体"/>
                <w:sz w:val="24"/>
                <w:szCs w:val="24"/>
              </w:rPr>
            </w:pPr>
            <w:r>
              <w:rPr>
                <w:rFonts w:hint="eastAsia" w:ascii="宋体" w:hAnsi="宋体" w:eastAsia="宋体" w:cs="宋体"/>
                <w:sz w:val="24"/>
                <w:szCs w:val="24"/>
              </w:rPr>
              <w:t>4. 考试过程中，需支持监考机与考试机之间网络不稳定的情况下（偶尔断网）不影响考试，如监考机发生如断网、死机等异常，重启后能够自动恢复到本场考试状态。</w:t>
            </w:r>
          </w:p>
          <w:p>
            <w:pPr>
              <w:bidi w:val="0"/>
              <w:rPr>
                <w:rFonts w:hint="eastAsia" w:ascii="宋体" w:hAnsi="宋体" w:eastAsia="宋体" w:cs="宋体"/>
                <w:sz w:val="24"/>
                <w:szCs w:val="24"/>
              </w:rPr>
            </w:pPr>
            <w:r>
              <w:rPr>
                <w:rFonts w:hint="eastAsia" w:ascii="宋体" w:hAnsi="宋体" w:eastAsia="宋体" w:cs="宋体"/>
                <w:sz w:val="24"/>
                <w:szCs w:val="24"/>
              </w:rPr>
              <w:t>5. 应确保考试过程中的录音质量：能够自动检测学生语音质量，及时发现答题语音不合格的学生，以便安排重考。</w:t>
            </w:r>
          </w:p>
          <w:p>
            <w:pPr>
              <w:bidi w:val="0"/>
              <w:rPr>
                <w:rFonts w:hint="eastAsia" w:ascii="宋体" w:hAnsi="宋体" w:eastAsia="宋体" w:cs="宋体"/>
                <w:sz w:val="24"/>
                <w:szCs w:val="24"/>
              </w:rPr>
            </w:pPr>
            <w:r>
              <w:rPr>
                <w:rFonts w:hint="eastAsia" w:ascii="宋体" w:hAnsi="宋体" w:eastAsia="宋体" w:cs="宋体"/>
                <w:sz w:val="24"/>
                <w:szCs w:val="24"/>
              </w:rPr>
              <w:t>6. 系统需支持收集学生答卷包。</w:t>
            </w:r>
          </w:p>
          <w:p>
            <w:pPr>
              <w:bidi w:val="0"/>
              <w:rPr>
                <w:rFonts w:hint="eastAsia" w:ascii="宋体" w:hAnsi="宋体" w:eastAsia="宋体" w:cs="宋体"/>
                <w:sz w:val="24"/>
                <w:szCs w:val="24"/>
              </w:rPr>
            </w:pPr>
            <w:r>
              <w:rPr>
                <w:rFonts w:hint="eastAsia" w:ascii="宋体" w:hAnsi="宋体" w:eastAsia="宋体" w:cs="宋体"/>
                <w:sz w:val="24"/>
                <w:szCs w:val="24"/>
              </w:rPr>
              <w:t>三、考试程序</w:t>
            </w:r>
          </w:p>
          <w:p>
            <w:pPr>
              <w:bidi w:val="0"/>
              <w:rPr>
                <w:rFonts w:hint="eastAsia" w:ascii="宋体" w:hAnsi="宋体" w:eastAsia="宋体" w:cs="宋体"/>
                <w:sz w:val="24"/>
                <w:szCs w:val="24"/>
              </w:rPr>
            </w:pPr>
            <w:r>
              <w:rPr>
                <w:rFonts w:hint="eastAsia" w:ascii="宋体" w:hAnsi="宋体" w:eastAsia="宋体" w:cs="宋体"/>
                <w:sz w:val="24"/>
                <w:szCs w:val="24"/>
              </w:rPr>
              <w:t>1. 系统需支持准考证号或者学号进行登录；</w:t>
            </w:r>
          </w:p>
          <w:p>
            <w:pPr>
              <w:bidi w:val="0"/>
              <w:rPr>
                <w:rFonts w:hint="eastAsia" w:ascii="宋体" w:hAnsi="宋体" w:eastAsia="宋体" w:cs="宋体"/>
                <w:sz w:val="24"/>
                <w:szCs w:val="24"/>
              </w:rPr>
            </w:pPr>
            <w:r>
              <w:rPr>
                <w:rFonts w:hint="eastAsia" w:ascii="宋体" w:hAnsi="宋体" w:eastAsia="宋体" w:cs="宋体"/>
                <w:sz w:val="24"/>
                <w:szCs w:val="24"/>
              </w:rPr>
              <w:t>2. 系统需支持与中高考试题流程、界面完全一致，对考试环境全真模拟，包括答题时间、语音播放次数限制。</w:t>
            </w:r>
          </w:p>
          <w:p>
            <w:pPr>
              <w:bidi w:val="0"/>
              <w:rPr>
                <w:rFonts w:hint="eastAsia" w:ascii="宋体" w:hAnsi="宋体" w:eastAsia="宋体" w:cs="宋体"/>
                <w:sz w:val="24"/>
                <w:szCs w:val="24"/>
              </w:rPr>
            </w:pPr>
            <w:r>
              <w:rPr>
                <w:rFonts w:hint="eastAsia" w:ascii="宋体" w:hAnsi="宋体" w:eastAsia="宋体" w:cs="宋体"/>
                <w:sz w:val="24"/>
                <w:szCs w:val="24"/>
              </w:rPr>
              <w:t>3. 需支持学生按照考试流程、指令完成考试。</w:t>
            </w:r>
          </w:p>
          <w:p>
            <w:pPr>
              <w:bidi w:val="0"/>
              <w:rPr>
                <w:rFonts w:hint="eastAsia" w:ascii="宋体" w:hAnsi="宋体" w:eastAsia="宋体" w:cs="宋体"/>
                <w:sz w:val="24"/>
                <w:szCs w:val="24"/>
              </w:rPr>
            </w:pPr>
            <w:r>
              <w:rPr>
                <w:rFonts w:hint="eastAsia" w:ascii="宋体" w:hAnsi="宋体" w:eastAsia="宋体" w:cs="宋体"/>
                <w:sz w:val="24"/>
                <w:szCs w:val="24"/>
              </w:rPr>
              <w:t>4. 需支持多种保障安全策略: ①需支持相邻的学生试卷不同；②需支持同一套试卷小题乱序以及选项乱序，提高防作弊水平。</w:t>
            </w:r>
          </w:p>
          <w:p>
            <w:pPr>
              <w:bidi w:val="0"/>
              <w:rPr>
                <w:rFonts w:hint="eastAsia" w:ascii="宋体" w:hAnsi="宋体" w:eastAsia="宋体" w:cs="宋体"/>
                <w:sz w:val="24"/>
                <w:szCs w:val="24"/>
              </w:rPr>
            </w:pPr>
            <w:r>
              <w:rPr>
                <w:rFonts w:hint="eastAsia" w:ascii="宋体" w:hAnsi="宋体" w:eastAsia="宋体" w:cs="宋体"/>
                <w:sz w:val="24"/>
                <w:szCs w:val="24"/>
              </w:rPr>
              <w:t>5.考试完成后，系统需支持自动对学生答题数据进行打包，传到监考机。</w:t>
            </w:r>
          </w:p>
          <w:p>
            <w:pPr>
              <w:bidi w:val="0"/>
              <w:rPr>
                <w:rFonts w:hint="eastAsia" w:ascii="宋体" w:hAnsi="宋体" w:eastAsia="宋体" w:cs="宋体"/>
                <w:sz w:val="24"/>
                <w:szCs w:val="24"/>
              </w:rPr>
            </w:pPr>
            <w:r>
              <w:rPr>
                <w:rFonts w:hint="eastAsia" w:ascii="宋体" w:hAnsi="宋体" w:eastAsia="宋体" w:cs="宋体"/>
                <w:sz w:val="24"/>
                <w:szCs w:val="24"/>
              </w:rPr>
              <w:t>四、评测引擎</w:t>
            </w:r>
          </w:p>
          <w:p>
            <w:pPr>
              <w:bidi w:val="0"/>
              <w:rPr>
                <w:rFonts w:hint="eastAsia" w:ascii="宋体" w:hAnsi="宋体" w:eastAsia="宋体" w:cs="宋体"/>
                <w:sz w:val="24"/>
                <w:szCs w:val="24"/>
              </w:rPr>
            </w:pPr>
            <w:r>
              <w:rPr>
                <w:rFonts w:hint="eastAsia" w:ascii="宋体" w:hAnsi="宋体" w:eastAsia="宋体" w:cs="宋体"/>
                <w:sz w:val="24"/>
                <w:szCs w:val="24"/>
              </w:rPr>
              <w:t>模拟测试场景的评分引擎，需要具备以下主要功能：</w:t>
            </w:r>
          </w:p>
          <w:p>
            <w:pPr>
              <w:bidi w:val="0"/>
              <w:rPr>
                <w:rFonts w:hint="eastAsia" w:ascii="宋体" w:hAnsi="宋体" w:eastAsia="宋体" w:cs="宋体"/>
                <w:sz w:val="24"/>
                <w:szCs w:val="24"/>
              </w:rPr>
            </w:pPr>
            <w:r>
              <w:rPr>
                <w:rFonts w:hint="eastAsia" w:ascii="宋体" w:hAnsi="宋体" w:eastAsia="宋体" w:cs="宋体"/>
                <w:sz w:val="24"/>
                <w:szCs w:val="24"/>
              </w:rPr>
              <w:t>1. 需支持实时提供考试的总分、大题分和小题分。</w:t>
            </w:r>
          </w:p>
          <w:p>
            <w:pPr>
              <w:bidi w:val="0"/>
              <w:rPr>
                <w:rFonts w:hint="eastAsia" w:ascii="宋体" w:hAnsi="宋体" w:eastAsia="宋体" w:cs="宋体"/>
                <w:sz w:val="24"/>
                <w:szCs w:val="24"/>
              </w:rPr>
            </w:pPr>
            <w:r>
              <w:rPr>
                <w:rFonts w:hint="eastAsia" w:ascii="宋体" w:hAnsi="宋体" w:eastAsia="宋体" w:cs="宋体"/>
                <w:sz w:val="24"/>
                <w:szCs w:val="24"/>
              </w:rPr>
              <w:t xml:space="preserve">2. 朗读短文需支持提供流畅度、完整度、流畅度更细化的分数反馈；复述题可以提供完整性、准确性、流畅性等细化分数反馈； </w:t>
            </w:r>
          </w:p>
          <w:p>
            <w:pPr>
              <w:bidi w:val="0"/>
              <w:rPr>
                <w:rFonts w:hint="eastAsia" w:ascii="宋体" w:hAnsi="宋体" w:eastAsia="宋体" w:cs="宋体"/>
                <w:sz w:val="24"/>
                <w:szCs w:val="24"/>
              </w:rPr>
            </w:pPr>
            <w:r>
              <w:rPr>
                <w:rFonts w:hint="eastAsia" w:ascii="宋体" w:hAnsi="宋体" w:eastAsia="宋体" w:cs="宋体"/>
                <w:sz w:val="24"/>
                <w:szCs w:val="24"/>
              </w:rPr>
              <w:t>3. 需适用于班级模考、校级联考、区级联考等场景，进行评分。</w:t>
            </w:r>
          </w:p>
          <w:p>
            <w:pPr>
              <w:bidi w:val="0"/>
              <w:rPr>
                <w:rFonts w:hint="eastAsia" w:ascii="宋体" w:hAnsi="宋体" w:eastAsia="宋体" w:cs="宋体"/>
                <w:sz w:val="24"/>
                <w:szCs w:val="24"/>
              </w:rPr>
            </w:pPr>
            <w:r>
              <w:rPr>
                <w:rFonts w:hint="eastAsia" w:ascii="宋体" w:hAnsi="宋体" w:eastAsia="宋体" w:cs="宋体"/>
                <w:sz w:val="24"/>
                <w:szCs w:val="24"/>
              </w:rPr>
              <w:t>4、引擎需要适应中小学不同年龄段的学生的发音特点，评分合理、可信。</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sz w:val="24"/>
                <w:szCs w:val="24"/>
              </w:rPr>
              <w:t>五、提供制造厂商针对本项目的售后服务承诺书（加盖厂商公章）</w:t>
            </w:r>
          </w:p>
        </w:tc>
        <w:tc>
          <w:tcPr>
            <w:tcW w:w="61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0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bl>
    <w:p>
      <w:pPr>
        <w:pStyle w:val="2"/>
        <w:ind w:left="-240" w:leftChars="-10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第四包：莲石湖分校水泥厂校区计算机教室</w:t>
      </w:r>
    </w:p>
    <w:tbl>
      <w:tblPr>
        <w:tblStyle w:val="31"/>
        <w:tblW w:w="102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753"/>
        <w:gridCol w:w="7860"/>
        <w:gridCol w:w="555"/>
        <w:gridCol w:w="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设备名称</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规格参数</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触控一体机</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一、触控一体机硬件参数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1、整机采用86英寸超高清LED液晶屏，显示比例16:9，分辨率≥3840×2160，色域覆盖率（NTSC）≥75%，灰度等级≥256级。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整采用红外触控技术，支持整机设备系统中进行20点或以上触控，触摸分辨率≥32768×32768，最小识别物≤3mm，整机屏幕触摸有效识别高度不超过1.5mm，即触摸物体距离玻璃外表面高度不超过1.5mm时，触摸屏识别为点击操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3、整机采用全物理钢化玻璃，有效保护屏幕显示画面，钢化玻璃表面硬度≥9H。</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4、侧置输入接口</w:t>
            </w:r>
            <w:r>
              <w:rPr>
                <w:rFonts w:hint="eastAsia" w:asciiTheme="minorEastAsia" w:hAnsiTheme="minorEastAsia" w:cstheme="minorEastAsia"/>
                <w:i w:val="0"/>
                <w:iCs w:val="0"/>
                <w:color w:val="000000"/>
                <w:kern w:val="0"/>
                <w:sz w:val="24"/>
                <w:szCs w:val="24"/>
                <w:u w:val="none"/>
                <w:lang w:val="en-US" w:eastAsia="zh-CN" w:bidi="ar"/>
              </w:rPr>
              <w:t>规格和数量不低于</w:t>
            </w:r>
            <w:r>
              <w:rPr>
                <w:rFonts w:hint="eastAsia" w:asciiTheme="minorEastAsia" w:hAnsiTheme="minorEastAsia" w:eastAsiaTheme="minorEastAsia" w:cstheme="minorEastAsia"/>
                <w:i w:val="0"/>
                <w:iCs w:val="0"/>
                <w:color w:val="000000"/>
                <w:kern w:val="0"/>
                <w:sz w:val="24"/>
                <w:szCs w:val="24"/>
                <w:u w:val="none"/>
                <w:lang w:val="en-US" w:eastAsia="zh-CN" w:bidi="ar"/>
              </w:rPr>
              <w:t>2路HDMI、1路RS232、1路USB接口；侧置输出接口具备1路音频输出、1路触控USB输出；前置输入接口具备3路USB接口（包含1路Type-C、2路USB）。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#5、整机上边框内置非独立式摄像头，采用一体化集成设计，摄像头数量≥4个，视场角≥140度且水平视场角≥130度。（提供国家级检测机构所出具的检测报告复印件并加盖生产厂商公章）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#6、整机内置2.2声道扬声器，位于设备上边框，顶置朝前发声，前朝向10W高音扬声器2个，上朝向20W中低音扬声器2个，额定总功率60W。（提供国家级检测机构所出具的检测报告复印件并加盖生产厂家公章）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#7、整机内置非独立外扩展的8阵列麦克风，拾音角度≥180°，可用于对教室环境音频进行采集，拾音距离≥12m。（提供国家级检测机构所出具的检测报告复印件并加盖生产厂家公章）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8、整机全通道支持纸质护眼模式，可实现画面纹理的实时调整；支持纸质纹理：牛皮纸、素描纸、宣纸、水彩纸、水纹纸；支持透明度调节；支持色温调节。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9、整机支持色彩空间可选，包含标准模式和sRGB模式，在sRGB模式下可做到高色准△E≤1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0</w:t>
            </w:r>
            <w:r>
              <w:rPr>
                <w:rFonts w:hint="eastAsia" w:asciiTheme="minorEastAsia" w:hAnsiTheme="minorEastAsia" w:eastAsiaTheme="minorEastAsia" w:cstheme="minorEastAsia"/>
                <w:i w:val="0"/>
                <w:iCs w:val="0"/>
                <w:color w:val="000000"/>
                <w:kern w:val="0"/>
                <w:sz w:val="24"/>
                <w:szCs w:val="24"/>
                <w:u w:val="none"/>
                <w:lang w:val="en-US" w:eastAsia="zh-CN" w:bidi="ar"/>
              </w:rPr>
              <w:t>.整机采用硬件低蓝光背光技术。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1</w:t>
            </w:r>
            <w:r>
              <w:rPr>
                <w:rFonts w:hint="eastAsia" w:asciiTheme="minorEastAsia" w:hAnsiTheme="minorEastAsia" w:eastAsiaTheme="minorEastAsia" w:cstheme="minorEastAsia"/>
                <w:i w:val="0"/>
                <w:iCs w:val="0"/>
                <w:color w:val="000000"/>
                <w:kern w:val="0"/>
                <w:sz w:val="24"/>
                <w:szCs w:val="24"/>
                <w:u w:val="none"/>
                <w:lang w:val="en-US" w:eastAsia="zh-CN" w:bidi="ar"/>
              </w:rPr>
              <w:t>、整机支持5个自定义前置按键，可通过自定义设置实现前置面板功能按键一键启用任一全局小工具、快捷开关</w:t>
            </w:r>
            <w:r>
              <w:rPr>
                <w:rFonts w:hint="eastAsia" w:asciiTheme="minorEastAsia" w:hAnsiTheme="minorEastAsia" w:cstheme="minorEastAsia"/>
                <w:i w:val="0"/>
                <w:iCs w:val="0"/>
                <w:color w:val="000000"/>
                <w:kern w:val="0"/>
                <w:sz w:val="24"/>
                <w:szCs w:val="24"/>
                <w:u w:val="none"/>
                <w:lang w:val="en-US" w:eastAsia="zh-CN" w:bidi="ar"/>
              </w:rPr>
              <w:t>。</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2</w:t>
            </w:r>
            <w:r>
              <w:rPr>
                <w:rFonts w:hint="eastAsia" w:asciiTheme="minorEastAsia" w:hAnsiTheme="minorEastAsia" w:eastAsiaTheme="minorEastAsia" w:cstheme="minorEastAsia"/>
                <w:i w:val="0"/>
                <w:iCs w:val="0"/>
                <w:color w:val="000000"/>
                <w:kern w:val="0"/>
                <w:sz w:val="24"/>
                <w:szCs w:val="24"/>
                <w:u w:val="none"/>
                <w:lang w:val="en-US" w:eastAsia="zh-CN" w:bidi="ar"/>
              </w:rPr>
              <w:t>、整机内置双WiFi6无线网卡，在整机设备下，可实现Wi-Fi无线上网连接、AP无线热点发射，Wi-Fi和AP热点工作距离≥12m。（提供国家级检测机构所出具的检测报告复印件并加盖生产厂家公章）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3</w:t>
            </w:r>
            <w:r>
              <w:rPr>
                <w:rFonts w:hint="eastAsia" w:asciiTheme="minorEastAsia" w:hAnsiTheme="minorEastAsia" w:eastAsiaTheme="minorEastAsia" w:cstheme="minorEastAsia"/>
                <w:i w:val="0"/>
                <w:iCs w:val="0"/>
                <w:color w:val="000000"/>
                <w:kern w:val="0"/>
                <w:sz w:val="24"/>
                <w:szCs w:val="24"/>
                <w:u w:val="none"/>
                <w:lang w:val="en-US" w:eastAsia="zh-CN" w:bidi="ar"/>
              </w:rPr>
              <w:t>、整机具备前置Type-C接口，通过Type-C接口实现音视频输入，外接电脑设备经双头Type-C线连接至整机，即可把外接电脑设备画面投到整机上，同时在整机上操作画面，可实现触摸电脑的操作，无需再连接触控USB线。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4</w:t>
            </w:r>
            <w:r>
              <w:rPr>
                <w:rFonts w:hint="eastAsia" w:asciiTheme="minorEastAsia" w:hAnsiTheme="minorEastAsia" w:eastAsiaTheme="minorEastAsia" w:cstheme="minorEastAsia"/>
                <w:i w:val="0"/>
                <w:iCs w:val="0"/>
                <w:color w:val="000000"/>
                <w:kern w:val="0"/>
                <w:sz w:val="24"/>
                <w:szCs w:val="24"/>
                <w:u w:val="none"/>
                <w:lang w:val="en-US" w:eastAsia="zh-CN" w:bidi="ar"/>
              </w:rPr>
              <w:t>、设备支持通过前置面板物理按键一键启动录屏功能，可将屏幕中显示的课件、音频内容与人声同时录制。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5</w:t>
            </w:r>
            <w:r>
              <w:rPr>
                <w:rFonts w:hint="eastAsia" w:asciiTheme="minorEastAsia" w:hAnsiTheme="minorEastAsia" w:eastAsiaTheme="minorEastAsia" w:cstheme="minorEastAsia"/>
                <w:i w:val="0"/>
                <w:iCs w:val="0"/>
                <w:color w:val="000000"/>
                <w:kern w:val="0"/>
                <w:sz w:val="24"/>
                <w:szCs w:val="24"/>
                <w:u w:val="none"/>
                <w:lang w:val="en-US" w:eastAsia="zh-CN" w:bidi="ar"/>
              </w:rPr>
              <w:t>、支持半屏模式，将整机设备显示画面上半部分下拉到屏幕下半部分显示，此时依然可以正常触控操作；点击非整机设备显示画面区域（屏幕上半部分），即可退出该模式。</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6</w:t>
            </w:r>
            <w:r>
              <w:rPr>
                <w:rFonts w:hint="eastAsia" w:asciiTheme="minorEastAsia" w:hAnsiTheme="minorEastAsia" w:eastAsiaTheme="minorEastAsia" w:cstheme="minorEastAsia"/>
                <w:i w:val="0"/>
                <w:iCs w:val="0"/>
                <w:color w:val="000000"/>
                <w:kern w:val="0"/>
                <w:sz w:val="24"/>
                <w:szCs w:val="24"/>
                <w:u w:val="none"/>
                <w:lang w:val="en-US" w:eastAsia="zh-CN" w:bidi="ar"/>
              </w:rPr>
              <w:t>、整机设备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二、软件参数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提供不少于100家中小学数字教学资源。提供互动式教学课件资源，包含学科教育各学段教材版本教学章节、专题教育、特殊教育分类150000份互动课件；（提供第三方机构出具的相关检测报告复印件，并加盖生产厂家公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提供涵盖小学、初中、高中超过1500个微课程视频，每个学段的微课视频内容应不少于三个主要学科。微课内容可在线点播，下载至课件播放。微课视频支持视频关键帧打点标记，播放过程中可一键跳转至标记位置，同时支持一键对视频内容进行截图插入课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3、支持PPT的原生解析，教师可将pptx课件转化为互动教学课件，保留pptx原文件中的文字、图片、表格等对象及动画的可编辑性，并可为课件增加互动教学元素。</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4、具备云端静默推送下载功能，无需用户手动下载即可实现应用的在线升级，升级具有信息验证机制，确保教学秩序不受干扰。</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推拉绿板</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kern w:val="0"/>
                <w:sz w:val="24"/>
                <w:szCs w:val="24"/>
                <w14:ligatures w14:val="none"/>
              </w:rPr>
              <w:t>1、 结构：双层结构，内层为固定书写板，外层为滑动书写板，支持电子产品居中或一侧放置。</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w:t>
            </w:r>
            <w:r>
              <w:rPr>
                <w:rFonts w:hint="eastAsia" w:asciiTheme="minorEastAsia" w:hAnsiTheme="minorEastAsia" w:eastAsiaTheme="minorEastAsia" w:cstheme="minorEastAsia"/>
                <w:sz w:val="24"/>
                <w:szCs w:val="24"/>
              </w:rPr>
              <w:t>参考规格≥：1300mm*4000mm</w:t>
            </w:r>
            <w:r>
              <w:rPr>
                <w:rFonts w:hint="eastAsia" w:asciiTheme="minorEastAsia" w:hAnsiTheme="minorEastAsia" w:eastAsiaTheme="minorEastAsia" w:cstheme="minorEastAsia"/>
                <w:kern w:val="0"/>
                <w:sz w:val="24"/>
                <w:szCs w:val="24"/>
                <w14:ligatures w14:val="none"/>
              </w:rPr>
              <w:t>，高度可根据所配电子产品适当调整，确保与电子产品有效配套。</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 板面：采用金属搪瓷书写板面，亚光、墨绿色，没有因黑板本身原因产生的眩光，书写流畅字迹清晰、色彩协调可视效果佳，有效的缓解学生视觉疲劳。可吸附磁钉、磁片，便于教学。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 背板：采用优质镀锌钢板，机械化流水线一次成型。</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 覆板：采用自动化流水线覆板作业，避免人工作业刷胶不均导致粘贴不牢、起鼓等现象。甲醛释放量≤0.2mg/L，符合GB 28231-2011《书写板安全卫生要求》。</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边框：采用高强度香槟色电泳铝合金型材，横框规格≥57mm×78mm，立框规格≥29mm×100mm。轨道上置隐藏式滑动系统，杜绝灰尘及杂物进入，结构性解决滑动受灰尘影响的问题。边框应具有良好的耐磨性及耐腐蚀性，耐腐蚀性CASS 72H不得低于10级。</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粉尘槽：应配有宽度≥30mm的粉尘槽，粉尘槽应与滑动系统分离，不影响滑动板滑动。可放置书写笔、教鞭等教具，也可用于灰尘集中处理；粉尘槽采用U型结构以便于承载粉笔末等，应避免使用L型等开放式结构。粉尘槽应与边框一体式设计，以增加强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8、包角：采用抗老化高强度ABS工程塑料注塑成型，采用双壁成腔流线型设计，教学书写板品牌标识与包角一次模具成型，无尖角毛刺。当搭配电子产品为液晶屏时，包角应做可部分掰除设计，适配液晶屏厚度。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9、限位档：横框内部两侧安装限位档，避免滑动板推拉过程中撞击立框及夹手，禁止安装于立框。</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10、滑轮：双组高精度轴承上吊轮，下平滑动系统，上下均匀安装，上部滑轮应采用包胶轮以减少噪音，下部设有滑块，滑块应做前后方向弹性设计以降低教学书写板书写颤动。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11、安全性：滑动板配装锁具，当不使用电子产品时，应可对教学书写板进行锁闭，避免课间学生误操作并保护设备。一把锁实现对滑动教学书写板的锁定，钥匙通用，方便实用。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吸顶展台</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1.成像设备: 1/2.8英寸高品质CMOS传感器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2.总像素:500万最大分辨率≥1920x1080，输出帧率≥60帧/秒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3.视频输出:1080p60/50,1080i60/50,1080p30/25,720p60/50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4.输出接口: 支持HDMI，SDI，USB、有线LAN、无线LAN接口（5GWiFi模块可选）；SDI支持在1080P60格式下传输100米。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5.变焦:20倍光学变焦，10倍数码变焦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6.镜头转动</w:t>
            </w:r>
            <w:r>
              <w:rPr>
                <w:rFonts w:hint="eastAsia" w:asciiTheme="minorEastAsia" w:hAnsiTheme="minorEastAsia" w:cstheme="minorEastAsia"/>
                <w:i w:val="0"/>
                <w:iCs w:val="0"/>
                <w:color w:val="000000"/>
                <w:kern w:val="0"/>
                <w:sz w:val="24"/>
                <w:szCs w:val="24"/>
                <w:u w:val="none"/>
                <w:lang w:val="en-US" w:eastAsia="zh-CN" w:bidi="ar"/>
              </w:rPr>
              <w:t>范围</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:水平-170°～+170°俯仰-30°～+90°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7.聚焦: 自动/手动/一键聚焦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8.遥控器:中文遥控器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9.背光补偿:遥控器一键切换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10.调焦模式:手动/自动遥控器切换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11.图像亮度:遥控器可调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12.电子翻转:有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13.拍摄范围:A1画面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14.控制协议: VISCA/Pelco-D/Pelco-P；波特率：115200/9600/4800/2400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15.输入端子:VISCA*1RS422*1 RS485*1RS232*120.输出端子:HDMl*1US82.0*1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16.功耗:最大30W(DC12V时)22.操作温度:0~40℃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17.环境温度:-10-60℃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18.随机配件:AC电源适配器，R逐控器，操作说明书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19.需提供厂家售后服务承诺函原件（加盖厂家公章）。</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多媒体音箱</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1.音箱系统 2.0声道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2.有源音箱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3.调节方式：调节形式后旋钮调节，遥控器调节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4.额定功率≥120W；≥24W×2（高音）+≥36W×2（低音）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5.频率响应≥55Hz-20KHz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6.扬声器单元≥5.25英寸+直径25mm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7.信噪比≥85dB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8.分离度≥45dB</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多媒体线材及辅料</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含高清线、音频线、电源线、网线、线槽及其他安装配件辅料等</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多媒体集成</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含多媒体设备布线、安装，大屏、黑板安装调试等</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多媒体桌</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1、外型尺寸：1100*780*1000；上体部分1100*780*350mm（长*宽*高）；下体部分800*650*650mm（长*宽*高）。讲台选用冷轧钢板1.0-1.5mm，数控设备精加工制作。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2、讲台桌面采用木质材料，防静电处理。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3、讲桌桌体采用双开式柜门设计。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4、显示器采用翻转式设计，翻转角度为0-130度，键盘采用翻转式设计，其中采用不锈钢十字铰链，实物展台采用抽拉式设计，隐藏放置于讲桌内。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5、支持中控，主机，DVD，功放音箱，实物展台等安装。</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台式计算机（核心产品）</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default" w:ascii="宋体" w:hAnsi="宋体" w:eastAsia="宋体" w:cs="宋体"/>
                <w:kern w:val="0"/>
                <w:sz w:val="24"/>
                <w:szCs w:val="24"/>
                <w:lang w:val="en-US" w:eastAsia="zh-CN"/>
                <w14:ligatures w14:val="none"/>
              </w:rPr>
            </w:pPr>
            <w:r>
              <w:rPr>
                <w:rFonts w:hint="eastAsia" w:ascii="宋体" w:hAnsi="宋体" w:eastAsia="宋体" w:cs="宋体"/>
                <w:kern w:val="0"/>
                <w:sz w:val="24"/>
                <w:szCs w:val="24"/>
                <w:lang w:val="en-US" w:eastAsia="zh-CN"/>
                <w14:ligatures w14:val="none"/>
              </w:rPr>
              <w:t>国产电脑</w:t>
            </w:r>
          </w:p>
          <w:p>
            <w:pPr>
              <w:numPr>
                <w:ilvl w:val="0"/>
                <w:numId w:val="0"/>
              </w:numP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1、</w:t>
            </w:r>
            <w:r>
              <w:rPr>
                <w:rFonts w:hint="eastAsia" w:ascii="宋体" w:hAnsi="宋体" w:eastAsia="宋体" w:cs="宋体"/>
                <w:kern w:val="0"/>
                <w:sz w:val="24"/>
                <w:szCs w:val="24"/>
                <w14:ligatures w14:val="none"/>
              </w:rPr>
              <w:t>基本要求 国产自主品牌。</w:t>
            </w:r>
          </w:p>
          <w:p>
            <w:pPr>
              <w:keepNext w:val="0"/>
              <w:keepLines w:val="0"/>
              <w:widowControl/>
              <w:numPr>
                <w:ilvl w:val="0"/>
                <w:numId w:val="0"/>
              </w:numPr>
              <w:suppressLineNumbers w:val="0"/>
              <w:ind w:leftChars="0"/>
              <w:jc w:val="left"/>
              <w:textAlignment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2、</w:t>
            </w:r>
            <w:r>
              <w:rPr>
                <w:rFonts w:hint="eastAsia" w:ascii="宋体" w:hAnsi="宋体" w:eastAsia="宋体" w:cs="宋体"/>
                <w:kern w:val="0"/>
                <w:sz w:val="24"/>
                <w:szCs w:val="24"/>
                <w14:ligatures w14:val="none"/>
              </w:rPr>
              <w:t>处理器 兼容</w:t>
            </w:r>
            <w:r>
              <w:rPr>
                <w:rFonts w:hint="eastAsia" w:ascii="宋体" w:hAnsi="宋体" w:eastAsia="宋体" w:cs="宋体"/>
                <w:kern w:val="0"/>
                <w:sz w:val="24"/>
                <w:szCs w:val="24"/>
                <w:lang w:val="en-US" w:eastAsia="zh-CN"/>
                <w14:ligatures w14:val="none"/>
              </w:rPr>
              <w:t>X</w:t>
            </w:r>
            <w:r>
              <w:rPr>
                <w:rFonts w:hint="eastAsia" w:ascii="宋体" w:hAnsi="宋体" w:eastAsia="宋体" w:cs="宋体"/>
                <w:kern w:val="0"/>
                <w:sz w:val="24"/>
                <w:szCs w:val="24"/>
                <w14:ligatures w14:val="none"/>
              </w:rPr>
              <w:t>86 指令集</w:t>
            </w:r>
            <w:r>
              <w:rPr>
                <w:rFonts w:hint="eastAsia" w:ascii="宋体" w:hAnsi="宋体" w:cs="宋体"/>
                <w:kern w:val="0"/>
                <w:sz w:val="24"/>
                <w:szCs w:val="24"/>
                <w:lang w:eastAsia="zh-CN"/>
                <w14:ligatures w14:val="none"/>
              </w:rPr>
              <w:t>，</w:t>
            </w:r>
            <w:r>
              <w:rPr>
                <w:rFonts w:hint="eastAsia" w:ascii="宋体" w:hAnsi="宋体" w:eastAsia="宋体" w:cs="宋体"/>
                <w:kern w:val="0"/>
                <w:sz w:val="24"/>
                <w:szCs w:val="24"/>
                <w14:ligatures w14:val="none"/>
              </w:rPr>
              <w:t>国产CPU，物理核心数≥8核，内核主频（非睿频）≥2.7GHz；</w:t>
            </w:r>
            <w:r>
              <w:rPr>
                <w:rFonts w:hint="eastAsia" w:ascii="宋体" w:hAnsi="宋体" w:eastAsia="宋体" w:cs="宋体"/>
                <w:kern w:val="0"/>
                <w:sz w:val="24"/>
                <w:szCs w:val="24"/>
                <w14:ligatures w14:val="none"/>
              </w:rPr>
              <w:br w:type="textWrapping"/>
            </w:r>
            <w:r>
              <w:rPr>
                <w:rFonts w:hint="eastAsia" w:ascii="宋体" w:hAnsi="宋体" w:cs="宋体"/>
                <w:kern w:val="0"/>
                <w:sz w:val="24"/>
                <w:szCs w:val="24"/>
                <w:lang w:val="en-US" w:eastAsia="zh-CN"/>
                <w14:ligatures w14:val="none"/>
              </w:rPr>
              <w:t>3</w:t>
            </w:r>
            <w:r>
              <w:rPr>
                <w:rFonts w:hint="eastAsia" w:ascii="宋体" w:hAnsi="宋体" w:eastAsia="宋体" w:cs="宋体"/>
                <w:kern w:val="0"/>
                <w:sz w:val="24"/>
                <w:szCs w:val="24"/>
                <w14:ligatures w14:val="none"/>
              </w:rPr>
              <w:t>、内存 ≥16GB DDR4 UDIMM内存，配置≥2个内存插槽；</w:t>
            </w:r>
            <w:r>
              <w:rPr>
                <w:rFonts w:hint="eastAsia" w:ascii="宋体" w:hAnsi="宋体" w:eastAsia="宋体" w:cs="宋体"/>
                <w:kern w:val="0"/>
                <w:sz w:val="24"/>
                <w:szCs w:val="24"/>
                <w14:ligatures w14:val="none"/>
              </w:rPr>
              <w:br w:type="textWrapping"/>
            </w:r>
            <w:r>
              <w:rPr>
                <w:rFonts w:hint="eastAsia" w:ascii="宋体" w:hAnsi="宋体" w:cs="宋体"/>
                <w:kern w:val="0"/>
                <w:sz w:val="24"/>
                <w:szCs w:val="24"/>
                <w:lang w:val="en-US" w:eastAsia="zh-CN"/>
                <w14:ligatures w14:val="none"/>
              </w:rPr>
              <w:t>4</w:t>
            </w:r>
            <w:r>
              <w:rPr>
                <w:rFonts w:hint="eastAsia" w:ascii="宋体" w:hAnsi="宋体" w:eastAsia="宋体" w:cs="宋体"/>
                <w:kern w:val="0"/>
                <w:sz w:val="24"/>
                <w:szCs w:val="24"/>
                <w14:ligatures w14:val="none"/>
              </w:rPr>
              <w:t>、显卡 ≥2G独立显卡，另支持集成显卡，支持VGA+HDMI视频输出显示，默认独显输出；</w:t>
            </w:r>
            <w:r>
              <w:rPr>
                <w:rFonts w:hint="eastAsia" w:ascii="宋体" w:hAnsi="宋体" w:eastAsia="宋体" w:cs="宋体"/>
                <w:kern w:val="0"/>
                <w:sz w:val="24"/>
                <w:szCs w:val="24"/>
                <w14:ligatures w14:val="none"/>
              </w:rPr>
              <w:br w:type="textWrapping"/>
            </w:r>
            <w:r>
              <w:rPr>
                <w:rFonts w:hint="eastAsia" w:ascii="宋体" w:hAnsi="宋体" w:cs="宋体"/>
                <w:kern w:val="0"/>
                <w:sz w:val="24"/>
                <w:szCs w:val="24"/>
                <w:lang w:val="en-US" w:eastAsia="zh-CN"/>
                <w14:ligatures w14:val="none"/>
              </w:rPr>
              <w:t>5</w:t>
            </w:r>
            <w:r>
              <w:rPr>
                <w:rFonts w:hint="eastAsia" w:ascii="宋体" w:hAnsi="宋体" w:eastAsia="宋体" w:cs="宋体"/>
                <w:kern w:val="0"/>
                <w:sz w:val="24"/>
                <w:szCs w:val="24"/>
                <w14:ligatures w14:val="none"/>
              </w:rPr>
              <w:t>、硬盘 ≥</w:t>
            </w:r>
            <w:r>
              <w:rPr>
                <w:rFonts w:hint="eastAsia" w:ascii="宋体" w:hAnsi="宋体" w:eastAsia="宋体" w:cs="宋体"/>
                <w:kern w:val="0"/>
                <w:sz w:val="24"/>
                <w:szCs w:val="24"/>
                <w:lang w:val="en-US" w:eastAsia="zh-CN"/>
                <w14:ligatures w14:val="none"/>
              </w:rPr>
              <w:t>256</w:t>
            </w:r>
            <w:r>
              <w:rPr>
                <w:rFonts w:hint="eastAsia" w:ascii="宋体" w:hAnsi="宋体" w:eastAsia="宋体" w:cs="宋体"/>
                <w:kern w:val="0"/>
                <w:sz w:val="24"/>
                <w:szCs w:val="24"/>
                <w14:ligatures w14:val="none"/>
              </w:rPr>
              <w:t xml:space="preserve"> GB M.2接口NVME协议SSD，配置1块3.5寸1T机械硬盘，≥5400 RPM；</w:t>
            </w:r>
            <w:r>
              <w:rPr>
                <w:rFonts w:hint="eastAsia" w:ascii="宋体" w:hAnsi="宋体" w:eastAsia="宋体" w:cs="宋体"/>
                <w:kern w:val="0"/>
                <w:sz w:val="24"/>
                <w:szCs w:val="24"/>
                <w14:ligatures w14:val="none"/>
              </w:rPr>
              <w:br w:type="textWrapping"/>
            </w:r>
            <w:r>
              <w:rPr>
                <w:rFonts w:hint="eastAsia" w:ascii="宋体" w:hAnsi="宋体" w:cs="宋体"/>
                <w:kern w:val="0"/>
                <w:sz w:val="24"/>
                <w:szCs w:val="24"/>
                <w:lang w:val="en-US" w:eastAsia="zh-CN"/>
                <w14:ligatures w14:val="none"/>
              </w:rPr>
              <w:t>6</w:t>
            </w:r>
            <w:r>
              <w:rPr>
                <w:rFonts w:hint="eastAsia" w:ascii="宋体" w:hAnsi="宋体" w:eastAsia="宋体" w:cs="宋体"/>
                <w:kern w:val="0"/>
                <w:sz w:val="24"/>
                <w:szCs w:val="24"/>
                <w14:ligatures w14:val="none"/>
              </w:rPr>
              <w:t>、网络 1个RJ45 10/100/1000自适应以太网口；</w:t>
            </w:r>
            <w:r>
              <w:rPr>
                <w:rFonts w:hint="eastAsia" w:ascii="宋体" w:hAnsi="宋体" w:eastAsia="宋体" w:cs="宋体"/>
                <w:kern w:val="0"/>
                <w:sz w:val="24"/>
                <w:szCs w:val="24"/>
                <w14:ligatures w14:val="none"/>
              </w:rPr>
              <w:br w:type="textWrapping"/>
            </w:r>
            <w:r>
              <w:rPr>
                <w:rFonts w:hint="eastAsia" w:ascii="宋体" w:hAnsi="宋体" w:cs="宋体"/>
                <w:kern w:val="0"/>
                <w:sz w:val="24"/>
                <w:szCs w:val="24"/>
                <w:lang w:val="en-US" w:eastAsia="zh-CN"/>
                <w14:ligatures w14:val="none"/>
              </w:rPr>
              <w:t>7</w:t>
            </w:r>
            <w:r>
              <w:rPr>
                <w:rFonts w:hint="eastAsia" w:ascii="宋体" w:hAnsi="宋体" w:eastAsia="宋体" w:cs="宋体"/>
                <w:kern w:val="0"/>
                <w:sz w:val="24"/>
                <w:szCs w:val="24"/>
                <w14:ligatures w14:val="none"/>
              </w:rPr>
              <w:t>、接口扩展  配置≥8个USB 接口，其中前置USB3.0</w:t>
            </w:r>
            <w:r>
              <w:rPr>
                <w:rFonts w:hint="eastAsia" w:ascii="宋体" w:hAnsi="宋体" w:eastAsia="宋体" w:cs="宋体"/>
                <w:kern w:val="0"/>
                <w:sz w:val="24"/>
                <w:szCs w:val="24"/>
                <w:lang w:eastAsia="zh-CN"/>
                <w14:ligatures w14:val="none"/>
              </w:rPr>
              <w:t>及以上接口不少于</w:t>
            </w:r>
            <w:r>
              <w:rPr>
                <w:rFonts w:hint="eastAsia" w:ascii="宋体" w:hAnsi="宋体" w:eastAsia="宋体" w:cs="宋体"/>
                <w:kern w:val="0"/>
                <w:sz w:val="24"/>
                <w:szCs w:val="24"/>
                <w:lang w:val="en-US" w:eastAsia="zh-CN"/>
                <w14:ligatures w14:val="none"/>
              </w:rPr>
              <w:t>4个</w:t>
            </w:r>
            <w:r>
              <w:rPr>
                <w:rFonts w:hint="eastAsia" w:ascii="宋体" w:hAnsi="宋体" w:eastAsia="宋体" w:cs="宋体"/>
                <w:kern w:val="0"/>
                <w:sz w:val="24"/>
                <w:szCs w:val="24"/>
                <w14:ligatures w14:val="none"/>
              </w:rPr>
              <w:t>；1个RJ45网口，1个HDMI接口，1个VGA接口，前置1组音频接口，后置1组音频接口；</w:t>
            </w:r>
            <w:r>
              <w:rPr>
                <w:rFonts w:hint="eastAsia" w:ascii="宋体" w:hAnsi="宋体" w:eastAsia="宋体" w:cs="宋体"/>
                <w:kern w:val="0"/>
                <w:sz w:val="24"/>
                <w:szCs w:val="24"/>
                <w14:ligatures w14:val="none"/>
              </w:rPr>
              <w:br w:type="textWrapping"/>
            </w:r>
            <w:r>
              <w:rPr>
                <w:rFonts w:hint="eastAsia" w:ascii="宋体" w:hAnsi="宋体" w:cs="宋体"/>
                <w:kern w:val="0"/>
                <w:sz w:val="24"/>
                <w:szCs w:val="24"/>
                <w:lang w:val="en-US" w:eastAsia="zh-CN"/>
                <w14:ligatures w14:val="none"/>
              </w:rPr>
              <w:t>8</w:t>
            </w:r>
            <w:r>
              <w:rPr>
                <w:rFonts w:hint="eastAsia" w:ascii="宋体" w:hAnsi="宋体" w:eastAsia="宋体" w:cs="宋体"/>
                <w:kern w:val="0"/>
                <w:sz w:val="24"/>
                <w:szCs w:val="24"/>
                <w14:ligatures w14:val="none"/>
              </w:rPr>
              <w:t xml:space="preserve">、易用性 </w:t>
            </w:r>
            <w:r>
              <w:rPr>
                <w:rFonts w:hint="eastAsia" w:ascii="宋体" w:hAnsi="宋体" w:cs="宋体"/>
                <w:kern w:val="0"/>
                <w:sz w:val="24"/>
                <w:szCs w:val="24"/>
                <w:lang w:val="en-US" w:eastAsia="zh-CN"/>
                <w14:ligatures w14:val="none"/>
              </w:rPr>
              <w:t>方便</w:t>
            </w:r>
            <w:r>
              <w:rPr>
                <w:rFonts w:hint="eastAsia" w:ascii="宋体" w:hAnsi="宋体" w:eastAsia="宋体" w:cs="宋体"/>
                <w:kern w:val="0"/>
                <w:sz w:val="24"/>
                <w:szCs w:val="24"/>
                <w14:ligatures w14:val="none"/>
              </w:rPr>
              <w:t>拆卸机箱；</w:t>
            </w:r>
            <w:r>
              <w:rPr>
                <w:rFonts w:ascii="宋体" w:hAnsi="宋体" w:eastAsia="宋体" w:cs="宋体"/>
                <w:color w:val="FF0000"/>
                <w:kern w:val="0"/>
                <w:sz w:val="24"/>
                <w:szCs w:val="24"/>
                <w14:ligatures w14:val="none"/>
              </w:rPr>
              <w:br w:type="textWrapping"/>
            </w:r>
            <w:r>
              <w:rPr>
                <w:rFonts w:hint="eastAsia" w:ascii="宋体" w:hAnsi="宋体" w:cs="宋体"/>
                <w:kern w:val="0"/>
                <w:sz w:val="24"/>
                <w:szCs w:val="24"/>
                <w:lang w:val="en-US" w:eastAsia="zh-CN"/>
                <w14:ligatures w14:val="none"/>
              </w:rPr>
              <w:t>9</w:t>
            </w:r>
            <w:r>
              <w:rPr>
                <w:rFonts w:hint="eastAsia" w:ascii="宋体" w:hAnsi="宋体" w:eastAsia="宋体" w:cs="宋体"/>
                <w:kern w:val="0"/>
                <w:sz w:val="24"/>
                <w:szCs w:val="24"/>
                <w14:ligatures w14:val="none"/>
              </w:rPr>
              <w:t>、数据安全 支持出厂备份还原、全盘备份还原和分区备份还原等功能</w:t>
            </w:r>
            <w:r>
              <w:rPr>
                <w:rFonts w:hint="eastAsia" w:ascii="宋体" w:hAnsi="宋体" w:eastAsia="宋体" w:cs="宋体"/>
                <w:kern w:val="0"/>
                <w:sz w:val="24"/>
                <w:szCs w:val="24"/>
                <w:lang w:eastAsia="zh-CN"/>
                <w14:ligatures w14:val="none"/>
              </w:rPr>
              <w:t>；</w:t>
            </w:r>
            <w:r>
              <w:rPr>
                <w:rFonts w:hint="eastAsia" w:ascii="宋体" w:hAnsi="宋体" w:eastAsia="宋体" w:cs="宋体"/>
                <w:kern w:val="0"/>
                <w:sz w:val="24"/>
                <w:szCs w:val="24"/>
                <w14:ligatures w14:val="none"/>
              </w:rPr>
              <w:br w:type="textWrapping"/>
            </w:r>
            <w:r>
              <w:rPr>
                <w:rFonts w:hint="eastAsia" w:ascii="宋体" w:hAnsi="宋体" w:eastAsia="宋体" w:cs="宋体"/>
                <w:kern w:val="0"/>
                <w:sz w:val="24"/>
                <w:szCs w:val="24"/>
                <w:lang w:val="en-US" w:eastAsia="zh-CN"/>
                <w14:ligatures w14:val="none"/>
              </w:rPr>
              <w:t>1</w:t>
            </w:r>
            <w:r>
              <w:rPr>
                <w:rFonts w:hint="eastAsia" w:ascii="宋体" w:hAnsi="宋体" w:cs="宋体"/>
                <w:kern w:val="0"/>
                <w:sz w:val="24"/>
                <w:szCs w:val="24"/>
                <w:lang w:val="en-US" w:eastAsia="zh-CN"/>
                <w14:ligatures w14:val="none"/>
              </w:rPr>
              <w:t>0</w:t>
            </w:r>
            <w:r>
              <w:rPr>
                <w:rFonts w:hint="eastAsia" w:ascii="宋体" w:hAnsi="宋体" w:eastAsia="宋体" w:cs="宋体"/>
                <w:kern w:val="0"/>
                <w:sz w:val="24"/>
                <w:szCs w:val="24"/>
                <w14:ligatures w14:val="none"/>
              </w:rPr>
              <w:t>、质控水平 MTBF≥3</w:t>
            </w:r>
            <w:r>
              <w:rPr>
                <w:rFonts w:ascii="宋体" w:hAnsi="宋体" w:eastAsia="宋体" w:cs="宋体"/>
                <w:kern w:val="0"/>
                <w:sz w:val="24"/>
                <w:szCs w:val="24"/>
                <w14:ligatures w14:val="none"/>
              </w:rPr>
              <w:t>0</w:t>
            </w:r>
            <w:r>
              <w:rPr>
                <w:rFonts w:hint="eastAsia" w:ascii="宋体" w:hAnsi="宋体" w:eastAsia="宋体" w:cs="宋体"/>
                <w:kern w:val="0"/>
                <w:sz w:val="24"/>
                <w:szCs w:val="24"/>
                <w14:ligatures w14:val="none"/>
              </w:rPr>
              <w:t>000</w:t>
            </w:r>
            <w:r>
              <w:rPr>
                <w:rFonts w:hint="eastAsia" w:ascii="宋体" w:hAnsi="宋体" w:eastAsia="宋体" w:cs="宋体"/>
                <w:kern w:val="0"/>
                <w:sz w:val="24"/>
                <w:szCs w:val="24"/>
                <w:lang w:val="en-US" w:eastAsia="zh-CN"/>
                <w14:ligatures w14:val="none"/>
              </w:rPr>
              <w:t>0</w:t>
            </w:r>
            <w:r>
              <w:rPr>
                <w:rFonts w:hint="eastAsia" w:ascii="宋体" w:hAnsi="宋体" w:eastAsia="宋体" w:cs="宋体"/>
                <w:kern w:val="0"/>
                <w:sz w:val="24"/>
                <w:szCs w:val="24"/>
                <w14:ligatures w14:val="none"/>
              </w:rPr>
              <w:t>小时；</w:t>
            </w:r>
            <w:r>
              <w:rPr>
                <w:rFonts w:ascii="宋体" w:hAnsi="宋体" w:eastAsia="宋体" w:cs="宋体"/>
                <w:kern w:val="0"/>
                <w:sz w:val="24"/>
                <w:szCs w:val="24"/>
                <w14:ligatures w14:val="none"/>
              </w:rPr>
              <w:br w:type="textWrapping"/>
            </w:r>
            <w:r>
              <w:rPr>
                <w:rFonts w:hint="eastAsia" w:ascii="宋体" w:hAnsi="宋体" w:eastAsia="宋体" w:cs="宋体"/>
                <w:kern w:val="0"/>
                <w:sz w:val="24"/>
                <w:szCs w:val="24"/>
                <w14:ligatures w14:val="none"/>
              </w:rPr>
              <w:t>1</w:t>
            </w:r>
            <w:r>
              <w:rPr>
                <w:rFonts w:hint="eastAsia" w:ascii="宋体" w:hAnsi="宋体" w:cs="宋体"/>
                <w:kern w:val="0"/>
                <w:sz w:val="24"/>
                <w:szCs w:val="24"/>
                <w:lang w:val="en-US" w:eastAsia="zh-CN"/>
                <w14:ligatures w14:val="none"/>
              </w:rPr>
              <w:t>1</w:t>
            </w:r>
            <w:r>
              <w:rPr>
                <w:rFonts w:hint="eastAsia" w:ascii="宋体" w:hAnsi="宋体" w:eastAsia="宋体" w:cs="宋体"/>
                <w:kern w:val="0"/>
                <w:sz w:val="24"/>
                <w:szCs w:val="24"/>
                <w14:ligatures w14:val="none"/>
              </w:rPr>
              <w:t>、显示器 支持壁挂，≥23.8寸，分辨率1920*1080，≥1个HDMI</w:t>
            </w:r>
            <w:r>
              <w:rPr>
                <w:rFonts w:hint="eastAsia" w:ascii="宋体" w:hAnsi="宋体" w:eastAsia="宋体" w:cs="宋体"/>
                <w:kern w:val="0"/>
                <w:sz w:val="24"/>
                <w:szCs w:val="24"/>
                <w:lang w:eastAsia="zh-CN"/>
                <w14:ligatures w14:val="none"/>
              </w:rPr>
              <w:t>及一其他接口</w:t>
            </w:r>
            <w:r>
              <w:rPr>
                <w:rFonts w:hint="eastAsia" w:ascii="宋体" w:hAnsi="宋体" w:eastAsia="宋体" w:cs="宋体"/>
                <w:kern w:val="0"/>
                <w:sz w:val="24"/>
                <w:szCs w:val="24"/>
                <w14:ligatures w14:val="none"/>
              </w:rPr>
              <w:t>，且接口在下方，刷新率≥60HZ，支持低蓝光；</w:t>
            </w:r>
            <w:r>
              <w:rPr>
                <w:rFonts w:hint="eastAsia" w:ascii="宋体" w:hAnsi="宋体" w:eastAsia="宋体" w:cs="宋体"/>
                <w:color w:val="FF0000"/>
                <w:kern w:val="0"/>
                <w:sz w:val="24"/>
                <w:szCs w:val="24"/>
                <w14:ligatures w14:val="none"/>
              </w:rPr>
              <w:br w:type="textWrapping"/>
            </w:r>
            <w:r>
              <w:rPr>
                <w:rFonts w:hint="eastAsia" w:ascii="宋体" w:hAnsi="宋体" w:eastAsia="宋体" w:cs="宋体"/>
                <w:kern w:val="0"/>
                <w:sz w:val="24"/>
                <w:szCs w:val="24"/>
                <w14:ligatures w14:val="none"/>
              </w:rPr>
              <w:t>1</w:t>
            </w:r>
            <w:r>
              <w:rPr>
                <w:rFonts w:hint="eastAsia" w:ascii="宋体" w:hAnsi="宋体" w:cs="宋体"/>
                <w:kern w:val="0"/>
                <w:sz w:val="24"/>
                <w:szCs w:val="24"/>
                <w:lang w:val="en-US" w:eastAsia="zh-CN"/>
                <w14:ligatures w14:val="none"/>
              </w:rPr>
              <w:t>2</w:t>
            </w:r>
            <w:r>
              <w:rPr>
                <w:rFonts w:hint="eastAsia" w:ascii="宋体" w:hAnsi="宋体" w:eastAsia="宋体" w:cs="宋体"/>
                <w:kern w:val="0"/>
                <w:sz w:val="24"/>
                <w:szCs w:val="24"/>
                <w14:ligatures w14:val="none"/>
              </w:rPr>
              <w:t>、键鼠 配置一套</w:t>
            </w:r>
            <w:r>
              <w:rPr>
                <w:rFonts w:hint="eastAsia" w:ascii="宋体" w:hAnsi="宋体" w:eastAsia="宋体" w:cs="宋体"/>
                <w:kern w:val="0"/>
                <w:sz w:val="24"/>
                <w:szCs w:val="24"/>
                <w:lang w:eastAsia="zh-CN"/>
                <w14:ligatures w14:val="none"/>
              </w:rPr>
              <w:t>原厂</w:t>
            </w:r>
            <w:r>
              <w:rPr>
                <w:rFonts w:hint="eastAsia" w:ascii="宋体" w:hAnsi="宋体" w:eastAsia="宋体" w:cs="宋体"/>
                <w:kern w:val="0"/>
                <w:sz w:val="24"/>
                <w:szCs w:val="24"/>
                <w14:ligatures w14:val="none"/>
              </w:rPr>
              <w:t>有线USB接口的键盘鼠标；</w:t>
            </w:r>
          </w:p>
          <w:p>
            <w:pPr>
              <w:keepNext w:val="0"/>
              <w:keepLines w:val="0"/>
              <w:widowControl/>
              <w:numPr>
                <w:ilvl w:val="0"/>
                <w:numId w:val="0"/>
              </w:numPr>
              <w:suppressLineNumbers w:val="0"/>
              <w:ind w:leftChars="0"/>
              <w:jc w:val="left"/>
              <w:textAlignment w:val="center"/>
              <w:rPr>
                <w:rFonts w:hint="eastAsia" w:ascii="宋体" w:hAnsi="宋体" w:eastAsia="宋体" w:cs="宋体"/>
                <w:kern w:val="0"/>
                <w:sz w:val="24"/>
                <w:szCs w:val="24"/>
                <w14:ligatures w14:val="none"/>
              </w:rPr>
            </w:pPr>
            <w:r>
              <w:rPr>
                <w:rFonts w:hint="eastAsia" w:ascii="宋体" w:hAnsi="宋体" w:eastAsia="宋体" w:cs="宋体"/>
                <w:kern w:val="0"/>
                <w:sz w:val="24"/>
                <w:szCs w:val="24"/>
                <w:lang w:val="en-US" w:eastAsia="zh-CN"/>
                <w14:ligatures w14:val="none"/>
              </w:rPr>
              <w:t>13、</w:t>
            </w:r>
            <w:r>
              <w:rPr>
                <w:rFonts w:hint="eastAsia" w:asciiTheme="minorEastAsia" w:hAnsiTheme="minorEastAsia" w:eastAsiaTheme="minorEastAsia" w:cstheme="minorEastAsia"/>
                <w:i w:val="0"/>
                <w:iCs w:val="0"/>
                <w:color w:val="000000"/>
                <w:kern w:val="0"/>
                <w:sz w:val="24"/>
                <w:szCs w:val="24"/>
                <w:u w:val="none"/>
                <w:lang w:val="en-US" w:eastAsia="zh-CN" w:bidi="ar"/>
              </w:rPr>
              <w:t>需提供厂家售后服务承诺函原件（加盖厂家公章）。</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操作系统</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kern w:val="0"/>
                <w:sz w:val="24"/>
                <w:szCs w:val="24"/>
                <w:lang w:val="en-US" w:eastAsia="zh-CN"/>
                <w14:ligatures w14:val="none"/>
              </w:rPr>
              <w:t>国产操作系统</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1、操作系统软件具有应用商店，应用商店可提供教育行业应用商店，可提供系统截图证明；</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2、操作系统软件默认安装操作系统原厂青少年上网保护插件，对低俗垃圾广告拦截、不良内容拦截、跨网站跟踪用户信息链接。需提供系统截图证明与青少年上网保护软件著作登记证书。</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3、智能上网保护：支持在线网页中低俗广告拦截、支持在线网页中性感图片、性感视频拦截、支持在线查阅广告拦截统计、不良内容拦截统计、支持在线对网上有害信息举报</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4、智能护眼健康：提供专业眼保健操视频、提供护眼屏保、提供护眼色温调节、提供休息提醒</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5、AI智能助手：系统集成AI功能，支持主流国产AI大模型，包括百度千帆、讯飞星火、360智脑与智谱等。支持使用文字或者语音输入的方式多模态的输入与输出。支持通过AI进行问答和内容生成，解决疑问解答、语言学习、创意写作等具体问题，助力高效学习和工作。</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6、操作系统系统支持保障安全升级的自动主备双根分区以及备份分区，并且在系统中有双根分区和备份分区标识（如：RootA和RootB、Recovery/Backup标识符），在系统升级后支持回滚、备份还原，并保留用户个人数据，提供功能截图证明。</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办公软件</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kern w:val="0"/>
                <w:sz w:val="24"/>
                <w:szCs w:val="24"/>
                <w14:ligatures w14:val="none"/>
              </w:rPr>
              <w:t>1、操作习惯兼容：软件界面与微软office界面在菜单排布和功能界面的操作使用上保持相似；</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2、界面样式多样性：支持窗口多组件/整合模式，支持进行单窗口多标签的拆分与组合，在多窗口模式下支持在系统任务栏显示多主窗口；</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3、支持主题外观皮肤选择；</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4、具备文字、表格、演示各组建基础模板，便于教职工编辑文档直接使用；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5、支持在表格中一键插入求和、计数、平均值等常用函数公式。支持多列数据合并操作。支持单元格数据的循环引用；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6、文字、表格、演示模块均支持图形、图片对象各类属性的即时预览，如图形填充色、线条样式、线条粗细、线条虚实、箭头样式及阴影、映像、发光效果的即时预览；</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7、演示模块插入音频视频文件后在本应用中即可播放多媒体文件，无需调用其他播放软件，并且提供多种播放模式供选择。</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8、在文字、演示模块，中选择插入表格操作时，浮框支持即时预览插入效果；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9、在文字模块，右键插入行数的手动输入，便于一次性插入多行；</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10、在演示模块，表格可以选择表格样式，选择样式即可预览样式效果；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11、表格模块中支持数据自动生成柱形图、折线图、饼状图、条形图、面积图、xy散点图、股价图、雷达图、组合图等形式，各种类型之间可方便转换。支持图表定位到单元格中；</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12、格式兼容性：办公软件能生成.wps/.et/.dps等文件格式。双向兼容：各功能模块与微软 Office的Word、Excel、Powerpoint 三个功能模块相互兼容，支持格式包括且不限于 doc、docx、xls、xlsx、ppt、pptx、pdf、txt、xml。</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13、支持档修复：需支持修复打不开或损坏的文档，文档格式需支持Word/Excel/PPT/非纯图的PDF等；</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14、文字模块支持智能目录导航，自动识别文档结构，实时调整文档目录；标题格式不用调整样式，也可智能自动生成目录；</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15、表格模块支持表格快速合并选择，支持教师一键选择合并居中、合并单元格、合并相同单元格、合并内容、取消合并单元格、拆分并填充内容；</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16、演示模块，支持手机移动OFFICE客户端进行控制PC端OFFICE放映的演示文档，实现把手机变成遥控器，便于演讲人能随时切换演示文档。</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桌面云管理系统</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1、管理软件为B/S架构，全中文图形化管理界面，服务器支持端口映射、DMZ等方式访问，支持现有网络环境下的跨网段、跨路由管理，在跨网段、跨路由的环境中，不需要增加任何硬件设备和调整网络设置。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2、采用中央服务器管理模式，服务端支持主流的国产硬件平台和国产操作系统（UOS、kylin等），通过一台服务器管理不同品牌、不同架构的终端和主流操作系统。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3、管理系统可以统计终端用户数量、终端数量、虚拟磁盘数量和镜像数量等信息，同时可以统计服务器信息、CPU、内存及硬盘的使用率.</w:t>
            </w:r>
          </w:p>
          <w:p>
            <w:pPr>
              <w:keepNext w:val="0"/>
              <w:keepLines w:val="0"/>
              <w:widowControl/>
              <w:numPr>
                <w:ilvl w:val="0"/>
                <w:numId w:val="19"/>
              </w:numPr>
              <w:suppressLineNumbers w:val="0"/>
              <w:jc w:val="left"/>
              <w:textAlignment w:val="top"/>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系统服务端集成不同硬件架构的底层系统、客户端程序及数据库导入导出工具等，维护人员根据需求可以直接从服务端进行下载，无需找原始安装文件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5、具有独立的前端可视化管理平台，并且只有执行权限，管理员可以根据需求，提前设定好的指令和策略的操作模块，减少一线操作员的误操作几率的发生。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6、系统采用自主可控的底层维护通道技术，部署时不受网络架构及网络环境的限制，支持有线、无线、4G、5G等多种部署方式。</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7、在受保护的系统或分区中，可以自定义某个文件夹内的所有内容，不进行还原，即保护了系统，也可以对一些特殊的应用程序特有的属性进行独立保护。</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机房互动软件</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0"/>
              </w:numPr>
              <w:jc w:val="left"/>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lang w:val="en-US" w:eastAsia="zh-CN"/>
                <w14:ligatures w14:val="none"/>
              </w:rPr>
              <w:t>1、</w:t>
            </w:r>
            <w:r>
              <w:rPr>
                <w:rFonts w:hint="eastAsia" w:asciiTheme="minorEastAsia" w:hAnsiTheme="minorEastAsia" w:eastAsiaTheme="minorEastAsia" w:cstheme="minorEastAsia"/>
                <w:kern w:val="0"/>
                <w:sz w:val="24"/>
                <w:szCs w:val="24"/>
                <w14:ligatures w14:val="none"/>
              </w:rPr>
              <w:t>共享白板：系统支持导入图片创建白板内容，将白板内容共享给学生，教师可以选择某个学生控制老师的白板内容实现共同交互答题。教师也可以允许学生个人绘画模式在老师导入的素材白板内容基础上独立完成学习任务，教师可以监看所有学生的完成情况，同时可以把指定学生绘画的白板内容分享给其他同学欣赏。</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2、支持loongnix、UOS、Kylin、方德操作系统。</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3、试卷编辑：教师可通过答题卡编辑器插入图片，直接生成答题卡用于学生作答，试题类型包含选择题、判断题、填空题、论述题和手写题。教师可在答题卡中为客观题设置正确答案，为主观题设置参考答案。</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4、快速考试：教师可使用快速答题卡用于学生作答，输入考试名称、考试时间、试题类型、试题数量和试题分数即可快速发起考试，试题类型包含选择题、判断题、填空题、论述题和手写题。</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5、自定义考试：教师可使用自定义答题卡，将通过答题卡编辑器创建的答题卡导入试卷，分发给学生即可开始考试。开始考试后，教师可查看学生的答题进度。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6、阅卷评分：考试结束后自动弹出评分界面，客观题可自动评分，教师只需对主观题进行手动评分，支持将考试评分结果发送给相应的学生，并支持将考试评分结果以网页形式导出到本地。</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w:t>
            </w:r>
            <w:r>
              <w:rPr>
                <w:rFonts w:hint="eastAsia" w:asciiTheme="minorEastAsia" w:hAnsiTheme="minorEastAsia" w:eastAsiaTheme="minorEastAsia" w:cstheme="minorEastAsia"/>
                <w:kern w:val="0"/>
                <w:sz w:val="24"/>
                <w:szCs w:val="24"/>
                <w:lang w:val="en-US" w:eastAsia="zh-CN"/>
                <w14:ligatures w14:val="none"/>
              </w:rPr>
              <w:t>#</w:t>
            </w:r>
            <w:r>
              <w:rPr>
                <w:rFonts w:hint="eastAsia" w:asciiTheme="minorEastAsia" w:hAnsiTheme="minorEastAsia" w:eastAsiaTheme="minorEastAsia" w:cstheme="minorEastAsia"/>
                <w:kern w:val="0"/>
                <w:sz w:val="24"/>
                <w:szCs w:val="24"/>
                <w14:ligatures w14:val="none"/>
              </w:rPr>
              <w:t>抢答和竞答：组织全体或分组的快速抢答问题，有抢答口述回复、抢答文字回复、抢答屏幕转播回复三种方式，抢答对错后老师可以选择五角星+数字的方式给予学生相应奖励结果，并可根据题目的难易程度给出不同的分值，竞赛支持同一小组内排名。（提供功能截图并加盖</w:t>
            </w:r>
            <w:r>
              <w:rPr>
                <w:rFonts w:hint="eastAsia" w:asciiTheme="minorEastAsia" w:hAnsiTheme="minorEastAsia" w:eastAsia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8、扩展屏广播模式：教师机连接两个显示器，可在广播时选择将任意一个显示器的内容广播到学生机。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网络影院：采用流媒体技术，可实现教师机播放的视频同步无延时广播到学生机，学生无需下载该文件，教师也无需共享该文件。支持VCD、DVD、AVI等主流文件格式，支持720p、1080p高清视频。网络快照：教师可以在监控学生的时候，对学生画面拍快照或者录制，保存学生画面的截图或桌面视频。</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10、签到：提供学生名单管理工具，为软件和考试模块提供实名验证。提供点名功能，支持保留学生多次登录记录、考勤统计、签到信息的导出与对比，支持csv 格式的导出。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11、分组讨论：可以进行教师将学生分组，同组的组员可以相互讨论，教师可以参加任意组的讨论。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12、文件分发：允许教师将教师机不同盘符中的目录或文件一起发送至生机的某目录下。目录不存在自动新建此目录；盘符不存在或路径非法不允许分发；文件已存在选择自动覆盖或保留原始文件。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13、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14、自动锁屏：独有的断线保护自动锁屏技术，通过网卡的是否激活来锁定屏幕，避免学生拔掉网线违反纪律。</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15、防杀进程：为安全起见，学生端程序运行后，防止学生通过任务管理器结束学生端程序进程来逃脱教师控制。</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16、请求帮助：学生端遇到问题可请求帮助，教师端可远程遥控帮助学生解决问题。</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17、远程消息：教师与学生能够使用远程消息进行交流，并可以允许和阻止学生发送文字消息。</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18、黑屏肃静：教师可以对单一、部分、全体学生执行或解除黑屏操作，教师可自定义黑屏的内容与图片。</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19、键鼠禁用：教师可以对单一、部分、全体学生禁用键鼠操作，禁用时学生端鼠标和键盘被锁定，学生无法进行任何操作。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20、远程命令：教师可进行远程打开网页、开机、关机、重启、关闭应用程序等操作。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#21、视图模式：软件提供监控视图、详细信息视图、策略视图、文件提交视图、答题卡视图、抢答竞赛视图、共享白板视图。（厂家提供CSTC标识的软件评测中心检测报告并加盖</w:t>
            </w:r>
            <w:r>
              <w:rPr>
                <w:rFonts w:hint="eastAsia" w:asciiTheme="minorEastAsia" w:hAnsi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22、另具备屏幕广播、学生演示、网络影院、远程开关机、远程命令、屏幕监看、举手、发言、防杀进程、黑屏肃静、文件分发、文件收集等功能。</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#23、加密方式：系统可进行在线序列号加密和离线文件加密。（厂家提供CSTC标识的软件评测中心检测报告并加盖</w:t>
            </w:r>
            <w:r>
              <w:rPr>
                <w:rFonts w:hint="eastAsia" w:asciiTheme="minorEastAsia" w:hAnsi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24、多教室同时授课时系统登录支持学生端选择在线的任意老师端进入授课方式。</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14:ligatures w14:val="none"/>
              </w:rPr>
              <w:t>#</w:t>
            </w:r>
            <w:r>
              <w:rPr>
                <w:rFonts w:hint="eastAsia" w:asciiTheme="minorEastAsia" w:hAnsiTheme="minorEastAsia" w:eastAsiaTheme="minorEastAsia" w:cstheme="minorEastAsia"/>
                <w:kern w:val="0"/>
                <w:sz w:val="24"/>
                <w:szCs w:val="24"/>
                <w14:ligatures w14:val="none"/>
              </w:rPr>
              <w:t>25、客户端策略限制：具有客户端自行断网后自动启用断网锁屏功能、主控端通过黑白名单功能开启网页限制功能、主控端还可以开启对学生电脑的U盘限制功能。</w:t>
            </w:r>
            <w:r>
              <w:rPr>
                <w:rFonts w:hint="eastAsia" w:asciiTheme="minorEastAsia" w:hAnsiTheme="minorEastAsia" w:cstheme="minorEastAsia"/>
                <w:kern w:val="0"/>
                <w:sz w:val="24"/>
                <w:szCs w:val="24"/>
                <w:lang w:eastAsia="zh-CN"/>
                <w14:ligatures w14:val="none"/>
              </w:rPr>
              <w:t>（</w:t>
            </w:r>
            <w:r>
              <w:rPr>
                <w:rFonts w:hint="eastAsia" w:asciiTheme="minorEastAsia" w:hAnsiTheme="minorEastAsia" w:cstheme="minorEastAsia"/>
                <w:kern w:val="0"/>
                <w:sz w:val="24"/>
                <w:szCs w:val="24"/>
                <w:lang w:val="en-US" w:eastAsia="zh-CN"/>
                <w14:ligatures w14:val="none"/>
              </w:rPr>
              <w:t>厂家提供功能截图并加盖生产厂家公章）</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kern w:val="0"/>
                <w:sz w:val="24"/>
                <w:szCs w:val="24"/>
                <w:lang w:val="en-US" w:eastAsia="zh-CN"/>
                <w14:ligatures w14:val="none"/>
              </w:rPr>
              <w:t>2</w:t>
            </w:r>
            <w:r>
              <w:rPr>
                <w:rFonts w:hint="eastAsia" w:asciiTheme="minorEastAsia" w:hAnsiTheme="minorEastAsia" w:cstheme="minorEastAsia"/>
                <w:kern w:val="0"/>
                <w:sz w:val="24"/>
                <w:szCs w:val="24"/>
                <w:lang w:val="en-US" w:eastAsia="zh-CN"/>
                <w14:ligatures w14:val="none"/>
              </w:rPr>
              <w:t>6</w:t>
            </w:r>
            <w:r>
              <w:rPr>
                <w:rFonts w:hint="eastAsia" w:asciiTheme="minorEastAsia" w:hAnsiTheme="minorEastAsia" w:eastAsiaTheme="minorEastAsia" w:cstheme="minorEastAsia"/>
                <w:kern w:val="0"/>
                <w:sz w:val="24"/>
                <w:szCs w:val="24"/>
                <w:lang w:val="en-US" w:eastAsia="zh-CN"/>
                <w14:ligatures w14:val="none"/>
              </w:rPr>
              <w:t>、</w:t>
            </w:r>
            <w:r>
              <w:rPr>
                <w:rFonts w:hint="eastAsia" w:asciiTheme="minorEastAsia" w:hAnsiTheme="minorEastAsia" w:eastAsiaTheme="minorEastAsia" w:cstheme="minorEastAsia"/>
                <w:kern w:val="0"/>
                <w:sz w:val="24"/>
                <w:szCs w:val="24"/>
                <w14:ligatures w14:val="none"/>
              </w:rPr>
              <w:t>系统具有CSTC软件评测中心的“软件产品检测报告”。</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交换机</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1.支持48个10/100/1000BASE-T电口,支持4个1000BASE-X SFP端口,支持AC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2.交换容量：496Gbps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3.包转发率：126Mpps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4.支持G.8032以太网环保护协议ERPS，切换时间≤50ms，可兼容其他支持该协议的产品</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5.支持SNMP、支持RMON告警、事件、历史记录、支持iMC网管系统、支持NTP、支持命令行接口（CLI）配置、支持SSH2.0、支持FTP、支持TFTP</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6.端口防雷：10Kv</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学生桌</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1、二人位：参考尺寸：L1400×W600×H750mm</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2、桌面采用25毫米三聚氰胺板（两侧材质为PVC封边），面材采用优质三聚氰胺板，甲醛释放达到国家E1级环保要求。</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3、桌体桌面前沿支撑骨架采用冷轧钢板折弯而成，壁厚大于1mm，表面经酸洗、磷化防腐防锈处理后静电喷塑。</w:t>
            </w:r>
          </w:p>
          <w:p>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4、桌腿采用蝴蝶型钢脚，钢管为1.2mm。中间为1.0mm冷轧钢板，高度725mm，底部配有隐形可敲漏50mm进线孔，配有尼龙可调节脚，耐用防滑。</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学生凳</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center"/>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规格：340×240×420mm，钢木结构</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凳面：采用E1级25mm厚三聚氰胺板,</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框架采用25×25×1.0mm 优质方管。经过除油、酸洗、磷化、打磨、静电喷塑。</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封边：截面采用优质PVC封条机械封边.</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工艺：钢制框架。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网线</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top"/>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六类非屏蔽双绞线</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材质：OFC/PVC</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线芯：23AWG纯铜芯</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网络配线架</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1、符合ANSI/TIA/EIA-568-C.2 和ISO/IEC 11801:2008标准的要求；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2、1U高度 标准19英寸机架式传统安装；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3、可拆卸式线缆托架，保证线缆垂直进线，让理线更牢固、清晰，背面有568B和568A两种打线方式标识卡；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4、RJ45端口金针：50μ镀金；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5、导线端接次数≥250；可接受：22-26线规规格，插头与插座的插合次数≥1500次；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6、电流功率:1.5Amps； 最小电介值承受功率:1000VAC RMS＠60Hz/min；</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7、非屏蔽24口配线架有含模块和空架单独模块安装两种规格供现场选择使用；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8、通过信产部六类非屏蔽信道检验报告、六类非屏蔽永久链路检验报告；</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网络理线器</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1、优质ABS工程塑料成品，避免划伤,静电粉末喷涂；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2、背部双孔进线，避免旁路进线带来的拥塞；</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3、前盖板可上下自由翻盖，脱卸挂式设计；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4、宽孔值设计，保证单理线架容纳48根六类跳线；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5、按19英寸机架标准设计；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6、黑色的外观可与其他的任何机房设备相结合；</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网络跳线</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top"/>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传输带宽：≥250MHz</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传输速度：≥1000Mbps</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外被：环保PVC</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接口：镀金接口</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线芯：24AWG优质导体</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隔离：十字骨架</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水晶头</w:t>
            </w:r>
          </w:p>
        </w:tc>
        <w:tc>
          <w:tcPr>
            <w:tcW w:w="7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1、材料高密度聚乙烯；</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2、采用50µ"镀金三叉簧片，不易氧化，传导性能更好；</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3、弹片插拔寿命大于等于1000次；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4、两件式，两排高低搭配设计。</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电源线</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规格：BV4mm²</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绝缘层：PVC 抗老化，耐腐蚀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导体：无氧铜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电压：≥450/750V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长度：≥100米</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桥架</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产品材质：镀锌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尺寸：≥100*200mm</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镀锌管</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25镀锌管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制造工艺：折弯、烧焊、打磨等工艺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光滑度高、厚度均匀、性能稳定。</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86插座含底盒</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5孔10A含底盒</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插线板</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6插位。防雷。抗电涌。抗浪涌。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尺寸：≥250mm*98mm*39.6mm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最大电流：≥10A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额定电压：≥250V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功率：≥2500W</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防静电地板</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规格：≥600mm*600mm*40mm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材质：陶瓷面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采用优质一级冷轧钢板拉伸成型点焊，上层采用冷轧钢板，下层采用优质抗拉钢板冲压形成，两层经过冲压形成钢壳，钢壳内填充发泡水泥；表面采用耐磨防静电陶瓷面，四周镶嵌导电条。</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防静电地板配件</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地板支柱配件、包边、包角等</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地板安装</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防静电地板安装敷设</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设备拆除</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旧设备拆除搬运到指定地点</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辅料</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含软管、打标纸、自攻钉、胶布、胀栓、接地端子、管卡子安装等</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机房综合布线</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含电源、网络桥架敷设、电源线、网线敷设，电源空开维护</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机房系统集成</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含电脑安装调试、网络调试、机房配套软件调试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含从楼道总配电至教室内配电。</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校园模考系统学生耳机</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kern w:val="0"/>
                <w:sz w:val="24"/>
                <w:szCs w:val="24"/>
                <w:highlight w:val="none"/>
              </w:rPr>
              <w:t>1.考试专用耳机应为包耳式设计，USB2.0及以上接口、连接线需采用抗拉扯耐磨材质，线长1.5米以上；</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2.可拆卸耳罩，方便更换；</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3.自适应弹压式头梁，适合不同头型佩戴无需手动调节；</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4.耳机整体无任何线控或按钮调节装置；</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5.具备机考所需功能，包括考场环境声学自适应、软件实时状态检测（录音状态实时跟踪）、内置唯一ID、可见唯一编码等；</w:t>
            </w:r>
            <w:r>
              <w:rPr>
                <w:rFonts w:hint="eastAsia" w:asciiTheme="minorEastAsia" w:hAnsiTheme="minorEastAsia" w:eastAsiaTheme="minorEastAsia" w:cstheme="minorEastAsia"/>
                <w:kern w:val="0"/>
                <w:sz w:val="24"/>
                <w:szCs w:val="24"/>
                <w:highlight w:val="none"/>
              </w:rPr>
              <w:br w:type="textWrapping"/>
            </w:r>
            <w:r>
              <w:rPr>
                <w:rFonts w:hint="eastAsia" w:asciiTheme="minorEastAsia" w:hAnsiTheme="minorEastAsia" w:eastAsiaTheme="minorEastAsia" w:cstheme="minorEastAsia"/>
                <w:kern w:val="0"/>
                <w:sz w:val="24"/>
                <w:szCs w:val="24"/>
                <w:highlight w:val="none"/>
              </w:rPr>
              <w:t>6.提供可编程接口（SDK），至少包括唯一编码管理、拾音器状态检测等</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75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校园模考系统</w:t>
            </w:r>
          </w:p>
        </w:tc>
        <w:tc>
          <w:tcPr>
            <w:tcW w:w="7860" w:type="dxa"/>
            <w:tcBorders>
              <w:top w:val="single" w:color="000000" w:sz="4" w:space="0"/>
              <w:left w:val="single" w:color="000000" w:sz="4" w:space="0"/>
              <w:bottom w:val="single" w:color="000000" w:sz="4" w:space="0"/>
              <w:right w:val="single" w:color="000000" w:sz="4" w:space="0"/>
            </w:tcBorders>
            <w:shd w:val="clear" w:color="auto" w:fill="FFFFFF"/>
            <w:vAlign w:val="top"/>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一、考试管理客户端</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1.需支持同步老师创建的考试任务，包括未考试的和正在考试的任务。在系统中可以展示任务列表。</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2.需支持考试任务的下载，包括考试试卷和考生基础信息的下载。</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3.需支持启动监考机开始一场全真模拟测试。</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4.考试结束后，需支持进行答卷包完整性校验，上传考试状态数据和答卷包，并将数据传到服务器进行评测。</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5.考试任务详情中，需支持查看考试任务的基本信息，当前任务中所有考生的考试状态，包括已考、未考、考试失败等。</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二、监考程序</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需支持考试过程监控，包括准备考试、开始试音、开始考试、结束考试；</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2.需支持监考机操作，输入考生座位号的方式，快速灵活调整学生考试座位号。</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系统需支持答题同步，在所有学生完成同一个大题后才允许进入下一个大题，解决学生因为系统硬件配置、网络等因素影响或者使用多套试卷而导致的考试不同步情况。</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考试过程中，需支持监考机与考试机之间网络不稳定的情况下（偶尔断网）不影响考试，如监考机发生如断网、死机等异常，重启后能够自动恢复到本场考试状态。</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应确保考试过程中的录音质量：能够自动检测学生语音质量，及时发现答题语音不合格的学生，以便安排重考。</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系统需支持收集学生答卷包。</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三、考试程序</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系统需支持准考证号或者学号进行登录；</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系统需支持与中高考试题流程、界面完全一致，对考试环境全真模拟，包括答题时间、语音播放次数限制。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需支持学生按照考试流程、指令完成考试。</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需支持多种保障安全策略: ①需支持相邻的学生试卷不同；②需支持同一套试卷小题乱序以及选项乱序，提高防作弊水平。</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5.考试完成后，系统需支持自动对学生答题数据进行打包，传到监考机。</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四、评测引擎</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模拟测试场景的评分引擎，需要具备以下主要功能：</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需支持实时提供考试的总分、大题分和小题分。</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朗读短文需支持提供流畅度、完整度、流畅度更细化的分数反馈；复述题可以提供完整性、准确性、流畅性等细化分数反馈； </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需适用于班级模考、校级联考、区级联考等场景，进行评分。</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4、引擎需要适应中小学不同年龄段的学生的发音特点，评分合理、可信。</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rPr>
              <w:t>五、提供制造厂商针对本项目的售后服务承诺书（加盖厂商公章）</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bl>
    <w:p>
      <w:pPr>
        <w:pStyle w:val="2"/>
        <w:ind w:left="-240" w:leftChars="-100" w:firstLine="0" w:firstLineChars="0"/>
        <w:rPr>
          <w:rFonts w:hint="eastAsia"/>
          <w:sz w:val="24"/>
          <w:szCs w:val="24"/>
          <w:lang w:val="en-US" w:eastAsia="zh-CN"/>
        </w:rPr>
      </w:pPr>
      <w:r>
        <w:rPr>
          <w:rFonts w:hint="eastAsia"/>
          <w:sz w:val="24"/>
          <w:szCs w:val="24"/>
          <w:lang w:val="en-US" w:eastAsia="zh-CN"/>
        </w:rPr>
        <w:t>第五包：京源学校莲石湖分校计算机教室</w:t>
      </w:r>
    </w:p>
    <w:tbl>
      <w:tblPr>
        <w:tblStyle w:val="31"/>
        <w:tblW w:w="10270"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0"/>
        <w:gridCol w:w="720"/>
        <w:gridCol w:w="8100"/>
        <w:gridCol w:w="480"/>
        <w:gridCol w:w="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招标参数</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触控一体机</w:t>
            </w:r>
          </w:p>
        </w:tc>
        <w:tc>
          <w:tcPr>
            <w:tcW w:w="81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一、触控一体机硬件参数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1、整机采用86英寸超高清LED液晶屏，显示比例16:9，分辨率≥3840×2160，色域覆盖率（NTSC）≥75%，灰度等级≥256级。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整采用红外触控技术，支持整机设备系统中进行20点或以上触控，触摸分辨率≥32768×32768，最小识别物≤3mm，整机屏幕触摸有效识别高度不超过1.5mm，即触摸物体距离玻璃外表面高度不超过1.5mm时，触摸屏识别为点击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3、整机采用全物理钢化玻璃，有效保护屏幕显示画面，钢化玻璃表面硬度≥9H。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4、侧置输入接口</w:t>
            </w:r>
            <w:r>
              <w:rPr>
                <w:rFonts w:hint="eastAsia" w:ascii="宋体" w:hAnsi="宋体" w:cs="宋体"/>
                <w:i w:val="0"/>
                <w:iCs w:val="0"/>
                <w:color w:val="000000"/>
                <w:kern w:val="0"/>
                <w:sz w:val="24"/>
                <w:szCs w:val="24"/>
                <w:u w:val="none"/>
                <w:lang w:val="en-US" w:eastAsia="zh-CN" w:bidi="ar"/>
              </w:rPr>
              <w:t>规格和数量不低于</w:t>
            </w:r>
            <w:r>
              <w:rPr>
                <w:rFonts w:hint="eastAsia" w:ascii="宋体" w:hAnsi="宋体" w:eastAsia="宋体" w:cs="宋体"/>
                <w:i w:val="0"/>
                <w:iCs w:val="0"/>
                <w:color w:val="000000"/>
                <w:kern w:val="0"/>
                <w:sz w:val="24"/>
                <w:szCs w:val="24"/>
                <w:u w:val="none"/>
                <w:lang w:val="en-US" w:eastAsia="zh-CN" w:bidi="ar"/>
              </w:rPr>
              <w:t>2路HDMI、1路RS232、1路USB接口；侧置输出接口具备1路音频输出、1路触控USB输出；前置输入接口具备3路USB接口（包含1路Type-C、2路USB）。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#5、整机上边框内置非独立式摄像头，采用一体化集成设计，摄像头数量≥4个，视场角≥140度且水平视场角≥130度。（提供国家级检测机构所出具的检测报告复印件并加盖生产厂商公章）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#6、整机内置2.2声道扬声器，位于设备上边框，顶置朝前发声，前朝向10W高音扬声器2个，上朝向20W中低音扬声器2个，额定总功率60W。（提供国家级检测机构所出具的检测报告复印件并加盖生产厂家公章）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#7、整机内置非独立外扩展的8阵列麦克风，拾音角度≥180°，可用于对教室环境音频进行采集，拾音距离≥12m。（提供国家级检测机构所出具的检测报告复印件并加盖生产厂家公章）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8、整机全通道支持纸质护眼模式，可实现画面纹理的实时调整；支持纸质纹理：牛皮纸、素描纸、宣纸、水彩纸、水纹纸；支持透明度调节；支持色温调节。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9、整机支持色彩空间可选，包含标准模式和sRGB模式，在sRGB模式下可做到高色准△E≤1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0</w:t>
            </w:r>
            <w:r>
              <w:rPr>
                <w:rFonts w:hint="eastAsia" w:ascii="宋体" w:hAnsi="宋体" w:eastAsia="宋体" w:cs="宋体"/>
                <w:i w:val="0"/>
                <w:iCs w:val="0"/>
                <w:color w:val="000000"/>
                <w:kern w:val="0"/>
                <w:sz w:val="24"/>
                <w:szCs w:val="24"/>
                <w:u w:val="none"/>
                <w:lang w:val="en-US" w:eastAsia="zh-CN" w:bidi="ar"/>
              </w:rPr>
              <w:t>.整机采用硬件低蓝光背光技术。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、整机支持5个自定义前置按键，可通过自定义设置实现前置面板功能按键一键启用任一全局小工具、快捷开关</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、整机内置双WiFi6无线网卡，在整机设备下，可实现Wi-Fi无线上网连接、AP无线热点发射，Wi-Fi和AP热点工作距离≥12m。（提供国家级检测机构所出具的检测报告复印件并加盖生产厂家公章）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、整机具备前置Type-C接口，通过Type-C接口实现音视频输入，外接电脑设备经双头Type-C线连接至整机，即可把外接电脑设备画面投到整机上，同时在整机上操作画面，可实现触摸电脑的操作，无需再连接触控USB线。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i w:val="0"/>
                <w:iCs w:val="0"/>
                <w:color w:val="000000"/>
                <w:kern w:val="0"/>
                <w:sz w:val="24"/>
                <w:szCs w:val="24"/>
                <w:u w:val="none"/>
                <w:lang w:val="en-US" w:eastAsia="zh-CN" w:bidi="ar"/>
              </w:rPr>
              <w:t>、设备支持通过前置面板物理按键一键启动录屏功能，可将屏幕中显示的课件、音频内容与人声同时录制。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、支持半屏模式，将整机设备显示画面上半部分下拉到屏幕下半部分显示，此时依然可以正常触控操作；点击非整机设备显示画面区域（屏幕上半部分），即可退出该模式。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r>
              <w:rPr>
                <w:rFonts w:hint="eastAsia" w:ascii="宋体" w:hAnsi="宋体" w:eastAsia="宋体" w:cs="宋体"/>
                <w:i w:val="0"/>
                <w:iCs w:val="0"/>
                <w:color w:val="000000"/>
                <w:kern w:val="0"/>
                <w:sz w:val="24"/>
                <w:szCs w:val="24"/>
                <w:u w:val="none"/>
                <w:lang w:val="en-US" w:eastAsia="zh-CN" w:bidi="ar"/>
              </w:rPr>
              <w:t>、整机设备和全部外接通道（HDMI、Type-c）下侧边栏支持通过扫描二维码加入班级，老师设置题型，学生回答后提交，可以查看正确率比例及详细讲解；支持随机抽选、实时弹幕；支持管理当前班级成员；支持导出学生报告。全通道下可支持通过自定义按键调出该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二、软件参数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提供不少于100家中小学数字教学资源。提供互动式教学课件资源，包含学科教育各学段教材版本教学章节、专题教育、特殊教育分类150000份互动课件；（提供第三方机构出具的相关检测报告复印件，并加盖生产厂家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供涵盖小学、初中、高中超过1500个微课程视频，每个学段的微课视频内容应不少于三个主要学科。微课内容可在线点播，下载至课件播放。微课视频支持视频关键帧打点标记，播放过程中可一键跳转至标记位置，同时支持一键对视频内容进行截图插入课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3、支持PPT的原生解析，教师可将pptx课件转化为互动教学课件，保留pptx原文件中的文字、图片、表格等对象及动画的可编辑性，并可为课件增加互动教学元素。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4、具备云端静默推送下载功能，无需用户手动下载即可实现应用的在线升级，升级具有信息验证机制，确保教学秩序不受干扰。</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推拉绿板</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1、 结构：双层结构，内层为固定书写板，外层为滑动书写板，支持电子产品居中或一侧放置。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w:t>
            </w:r>
            <w:r>
              <w:rPr>
                <w:rFonts w:hint="eastAsia" w:ascii="宋体" w:hAnsi="宋体" w:eastAsia="宋体" w:cs="宋体"/>
                <w:sz w:val="24"/>
                <w:szCs w:val="24"/>
              </w:rPr>
              <w:t>参考规格≥：1300mm*4000mm</w:t>
            </w:r>
            <w:r>
              <w:rPr>
                <w:rFonts w:hint="eastAsia" w:ascii="宋体" w:hAnsi="宋体" w:eastAsia="宋体" w:cs="宋体"/>
                <w:kern w:val="0"/>
                <w:sz w:val="24"/>
                <w:szCs w:val="24"/>
              </w:rPr>
              <w:t>，高度可根据所配电子产品适当调整，确保与电子产品有效配套。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 板面：采用金属搪瓷书写板面，亚光、墨绿色，没有因黑板本身原因产生的眩光，书写流畅字迹清晰、色彩协调可视效果佳，有效的缓解学生视觉疲劳。可吸附磁钉、磁片，便于教学。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 背板：采用优质镀锌钢板，机械化流水线一次成型。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 覆板：采用自动化流水线覆板作业，避免人工作业刷胶不均导致粘贴不牢、起鼓等现象。甲醛释放量≤0.2mg/L，符合GB 28231-2011《书写板安全卫生要求》。</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边框：采用高强度香槟色电泳铝合金型材，横框规格≥57mm×78mm，立框规格≥29mm×100mm。轨道上置隐藏式滑动系统，杜绝灰尘及杂物进入，结构性解决滑动受灰尘影响的问题。边框应具有良好的耐磨性及耐腐蚀性，耐腐蚀性CASS 72H不得低于10级。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粉尘槽：应配有宽度≥30mm的粉尘槽，粉尘槽应与滑动系统分离，不影响滑动板滑动。可放置书写笔、教鞭等教具，也可用于灰尘集中处理；粉尘槽采用U型结构以便于承载粉笔末等，应避免使用L型等开放式结构。粉尘槽应与边框一体式设计，以增加强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包角：采用抗老化高强度ABS工程塑料注塑成型，采用双壁成腔流线型设计，教学书写板品牌标识与包角一次模具成型，无尖角毛刺。当搭配电子产品为液晶屏时，包角应做可部分掰除设计，以更好的适配液晶屏厚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9、限位档：横框内部两侧安装限位档，避免滑动板推拉过程中撞击立框及夹手，禁止安装于立框。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10、滑轮：双组高精度轴承上吊轮，下平滑动系统，上下均匀安装，上部滑轮应采用包胶轮以减少噪音，下部设有滑块，滑块应做前后方向弹性设计以降低教学书写板书写颤动。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11、安全性：滑动板配装锁具，当不使用电子产品时，应可对教学书写板进行锁闭，避免课间学生误操作并保护设备。一把锁实现对滑动教学书写板的锁定，钥匙通用，方便实用。</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吸顶展台</w:t>
            </w:r>
          </w:p>
        </w:tc>
        <w:tc>
          <w:tcPr>
            <w:tcW w:w="81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1.成像设备: 1/2.8英寸高品质CMOS传感器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2.总像素:500万最大分辨率≥1920x1080，输出帧率≥60帧/秒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3.视频输出:1080p60/50,1080i60/50,1080p30/25,720p60/50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4.输出接口: 支持HDMI，SDI，USB、有线LAN、无线LAN接口（5GWiFi模块可选）；SDI支持在1080P60格式下传输100米。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5.变焦:20倍光学变焦，10倍数码变焦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6.镜头转动</w:t>
            </w:r>
            <w:r>
              <w:rPr>
                <w:rFonts w:hint="eastAsia" w:ascii="宋体" w:hAnsi="宋体" w:cs="宋体"/>
                <w:i w:val="0"/>
                <w:iCs w:val="0"/>
                <w:color w:val="000000"/>
                <w:kern w:val="0"/>
                <w:sz w:val="24"/>
                <w:szCs w:val="24"/>
                <w:u w:val="none"/>
                <w:lang w:val="en-US" w:eastAsia="zh-CN" w:bidi="ar"/>
              </w:rPr>
              <w:t>范围</w:t>
            </w:r>
            <w:r>
              <w:rPr>
                <w:rFonts w:hint="eastAsia" w:ascii="宋体" w:hAnsi="宋体" w:eastAsia="宋体" w:cs="宋体"/>
                <w:i w:val="0"/>
                <w:iCs w:val="0"/>
                <w:color w:val="000000"/>
                <w:kern w:val="0"/>
                <w:sz w:val="24"/>
                <w:szCs w:val="24"/>
                <w:u w:val="none"/>
                <w:lang w:val="en-US" w:eastAsia="zh-CN" w:bidi="ar"/>
              </w:rPr>
              <w:t xml:space="preserve">:水平-170°～+170°俯仰-30°～+90°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7.聚焦: 自动/手动/一键聚焦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8.遥控器:中文遥控器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9.背光补偿:遥控器一键切换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10.调焦模式:手动/自动遥控器切换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11.图像亮度:遥控器可调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12.电子翻转:有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13.拍摄范围:A1画面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14.控制协议: VISCA/Pelco-D/Pelco-P；波特率：115200/9600/4800/2400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15.输入端子:VISCA*1RS422*1 RS485*1RS232*120.输出端子:HDMl*1US82.0*1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16.功耗:最大30W(DC12V时)22.操作温度:0~40℃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17.环境温度:-10-60℃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18.随机配件:AC电源适配器，R逐控器，操作说明书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19.需提供厂家售后服务承诺函原件（加盖厂家公章）。</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多媒体音箱</w:t>
            </w:r>
          </w:p>
        </w:tc>
        <w:tc>
          <w:tcPr>
            <w:tcW w:w="8100" w:type="dxa"/>
            <w:tcBorders>
              <w:top w:val="single" w:color="000000" w:sz="4" w:space="0"/>
              <w:left w:val="single" w:color="000000" w:sz="4" w:space="0"/>
              <w:bottom w:val="single" w:color="000000" w:sz="4" w:space="0"/>
              <w:right w:val="single" w:color="000000" w:sz="4" w:space="0"/>
            </w:tcBorders>
            <w:vAlign w:val="center"/>
          </w:tcPr>
          <w:p>
            <w:pPr>
              <w:bidi w:val="0"/>
              <w:rPr>
                <w:rFonts w:hint="eastAsia" w:ascii="宋体" w:hAnsi="宋体" w:eastAsia="宋体" w:cs="宋体"/>
                <w:sz w:val="24"/>
                <w:szCs w:val="24"/>
              </w:rPr>
            </w:pPr>
            <w:r>
              <w:rPr>
                <w:rFonts w:hint="eastAsia" w:ascii="宋体" w:hAnsi="宋体" w:eastAsia="宋体" w:cs="宋体"/>
                <w:sz w:val="24"/>
                <w:szCs w:val="24"/>
              </w:rPr>
              <w:t>1.音箱系统 2.0声道</w:t>
            </w:r>
          </w:p>
          <w:p>
            <w:pPr>
              <w:bidi w:val="0"/>
              <w:rPr>
                <w:rFonts w:hint="eastAsia" w:ascii="宋体" w:hAnsi="宋体" w:eastAsia="宋体" w:cs="宋体"/>
                <w:sz w:val="24"/>
                <w:szCs w:val="24"/>
              </w:rPr>
            </w:pPr>
            <w:r>
              <w:rPr>
                <w:rFonts w:hint="eastAsia" w:ascii="宋体" w:hAnsi="宋体" w:eastAsia="宋体" w:cs="宋体"/>
                <w:sz w:val="24"/>
                <w:szCs w:val="24"/>
              </w:rPr>
              <w:t>2.有源音箱</w:t>
            </w:r>
          </w:p>
          <w:p>
            <w:pPr>
              <w:bidi w:val="0"/>
              <w:rPr>
                <w:rFonts w:hint="eastAsia" w:ascii="宋体" w:hAnsi="宋体" w:eastAsia="宋体" w:cs="宋体"/>
                <w:sz w:val="24"/>
                <w:szCs w:val="24"/>
              </w:rPr>
            </w:pPr>
            <w:r>
              <w:rPr>
                <w:rFonts w:hint="eastAsia" w:ascii="宋体" w:hAnsi="宋体" w:eastAsia="宋体" w:cs="宋体"/>
                <w:sz w:val="24"/>
                <w:szCs w:val="24"/>
              </w:rPr>
              <w:t>3.调节方式：调节形式后旋钮调节</w:t>
            </w:r>
          </w:p>
          <w:p>
            <w:pPr>
              <w:bidi w:val="0"/>
              <w:rPr>
                <w:rFonts w:hint="eastAsia" w:ascii="宋体" w:hAnsi="宋体" w:eastAsia="宋体" w:cs="宋体"/>
                <w:sz w:val="24"/>
                <w:szCs w:val="24"/>
              </w:rPr>
            </w:pPr>
            <w:r>
              <w:rPr>
                <w:rFonts w:hint="eastAsia" w:ascii="宋体" w:hAnsi="宋体" w:eastAsia="宋体" w:cs="宋体"/>
                <w:sz w:val="24"/>
                <w:szCs w:val="24"/>
              </w:rPr>
              <w:t>4.输出功率：24W</w:t>
            </w:r>
          </w:p>
          <w:p>
            <w:pPr>
              <w:bidi w:val="0"/>
              <w:rPr>
                <w:rFonts w:hint="eastAsia" w:ascii="宋体" w:hAnsi="宋体" w:eastAsia="宋体" w:cs="宋体"/>
                <w:sz w:val="24"/>
                <w:szCs w:val="24"/>
              </w:rPr>
            </w:pPr>
            <w:r>
              <w:rPr>
                <w:rFonts w:hint="eastAsia" w:ascii="宋体" w:hAnsi="宋体" w:eastAsia="宋体" w:cs="宋体"/>
                <w:sz w:val="24"/>
                <w:szCs w:val="24"/>
              </w:rPr>
              <w:t>5.频率响应≥45Hz-20KHz</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6.扬声器单元:4英寸+1英寸</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多媒体线材及辅料</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1、含高清线、音频线、电源线、网线、线槽及其他安装配件辅料等</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多媒体集成</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1、含多媒体设备布线、安装，大屏、黑板安装调试等</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多媒体桌</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1、外型尺寸：1100*780*1000</w:t>
            </w:r>
            <w:r>
              <w:rPr>
                <w:rFonts w:hint="eastAsia" w:ascii="宋体" w:hAnsi="宋体" w:cs="宋体"/>
                <w:i w:val="0"/>
                <w:iCs w:val="0"/>
                <w:color w:val="000000"/>
                <w:kern w:val="0"/>
                <w:sz w:val="24"/>
                <w:szCs w:val="24"/>
                <w:u w:val="none"/>
                <w:lang w:val="en-US" w:eastAsia="zh-CN" w:bidi="ar"/>
              </w:rPr>
              <w:t>mm</w:t>
            </w:r>
            <w:r>
              <w:rPr>
                <w:rFonts w:hint="eastAsia" w:ascii="宋体" w:hAnsi="宋体" w:eastAsia="宋体" w:cs="宋体"/>
                <w:i w:val="0"/>
                <w:iCs w:val="0"/>
                <w:color w:val="000000"/>
                <w:kern w:val="0"/>
                <w:sz w:val="24"/>
                <w:szCs w:val="24"/>
                <w:u w:val="none"/>
                <w:lang w:val="en-US" w:eastAsia="zh-CN" w:bidi="ar"/>
              </w:rPr>
              <w:t>；上体部分1100*780*350mm（长*宽*高）；下体部分800*650*650mm（长*宽*高）。讲台选用冷轧钢板1.0-1.5mm，数控设备精加工制作。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2、讲台桌面采用木质材料，防静电处理。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3、讲桌桌体采用双开式柜门设计。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4、显示器采用翻转式设计，翻转角度为0-130度，键盘采用翻转式设计，其中采用不锈钢十字铰链，实物展台采用抽拉式设计，隐藏放置于讲桌内。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5、支持中控，主机，DVD，功放音箱，实物展台等安装。</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台式计算机（核心产品）</w:t>
            </w:r>
          </w:p>
        </w:tc>
        <w:tc>
          <w:tcPr>
            <w:tcW w:w="8100" w:type="dxa"/>
            <w:tcBorders>
              <w:top w:val="single" w:color="000000" w:sz="4" w:space="0"/>
              <w:left w:val="single" w:color="000000" w:sz="4" w:space="0"/>
              <w:bottom w:val="single" w:color="000000" w:sz="4" w:space="0"/>
              <w:right w:val="single" w:color="000000" w:sz="4" w:space="0"/>
            </w:tcBorders>
            <w:vAlign w:val="center"/>
          </w:tcPr>
          <w:p>
            <w:pPr>
              <w:numPr>
                <w:ilvl w:val="0"/>
                <w:numId w:val="0"/>
              </w:numP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国产电脑</w:t>
            </w:r>
          </w:p>
          <w:p>
            <w:pPr>
              <w:numPr>
                <w:ilvl w:val="0"/>
                <w:numId w:val="0"/>
              </w:numP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基本要求 国产自主品牌。</w:t>
            </w:r>
          </w:p>
          <w:p>
            <w:pPr>
              <w:keepNext w:val="0"/>
              <w:keepLines w:val="0"/>
              <w:widowControl/>
              <w:numPr>
                <w:ilvl w:val="0"/>
                <w:numId w:val="0"/>
              </w:numPr>
              <w:suppressLineNumbers w:val="0"/>
              <w:ind w:left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处理器 兼容</w:t>
            </w:r>
            <w:r>
              <w:rPr>
                <w:rFonts w:hint="eastAsia" w:ascii="宋体" w:hAnsi="宋体" w:eastAsia="宋体" w:cs="宋体"/>
                <w:kern w:val="0"/>
                <w:sz w:val="24"/>
                <w:szCs w:val="24"/>
                <w:lang w:val="en-US" w:eastAsia="zh-CN"/>
              </w:rPr>
              <w:t>X</w:t>
            </w:r>
            <w:r>
              <w:rPr>
                <w:rFonts w:hint="eastAsia" w:ascii="宋体" w:hAnsi="宋体" w:eastAsia="宋体" w:cs="宋体"/>
                <w:kern w:val="0"/>
                <w:sz w:val="24"/>
                <w:szCs w:val="24"/>
              </w:rPr>
              <w:t>86 指令集</w:t>
            </w:r>
            <w:r>
              <w:rPr>
                <w:rFonts w:hint="eastAsia" w:ascii="宋体" w:hAnsi="宋体" w:cs="宋体"/>
                <w:kern w:val="0"/>
                <w:sz w:val="24"/>
                <w:szCs w:val="24"/>
                <w:lang w:eastAsia="zh-CN"/>
              </w:rPr>
              <w:t>，</w:t>
            </w:r>
            <w:r>
              <w:rPr>
                <w:rFonts w:hint="eastAsia" w:ascii="宋体" w:hAnsi="宋体" w:eastAsia="宋体" w:cs="宋体"/>
                <w:kern w:val="0"/>
                <w:sz w:val="24"/>
                <w:szCs w:val="24"/>
              </w:rPr>
              <w:t>国产CPU，物理核心数≥8核，内核主频（非睿频）≥2.7GHz；</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3</w:t>
            </w:r>
            <w:r>
              <w:rPr>
                <w:rFonts w:hint="eastAsia" w:ascii="宋体" w:hAnsi="宋体" w:eastAsia="宋体" w:cs="宋体"/>
                <w:kern w:val="0"/>
                <w:sz w:val="24"/>
                <w:szCs w:val="24"/>
              </w:rPr>
              <w:t>、内存 ≥16GB DDR4 UDIMM内存，配置≥2个内存插槽；</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4</w:t>
            </w:r>
            <w:r>
              <w:rPr>
                <w:rFonts w:hint="eastAsia" w:ascii="宋体" w:hAnsi="宋体" w:eastAsia="宋体" w:cs="宋体"/>
                <w:kern w:val="0"/>
                <w:sz w:val="24"/>
                <w:szCs w:val="24"/>
              </w:rPr>
              <w:t>、显卡 ≥2G独立显卡，另支持集成显卡，支持VGA+HDMI视频输出显示，默认独显输出；</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5</w:t>
            </w:r>
            <w:r>
              <w:rPr>
                <w:rFonts w:hint="eastAsia" w:ascii="宋体" w:hAnsi="宋体" w:eastAsia="宋体" w:cs="宋体"/>
                <w:kern w:val="0"/>
                <w:sz w:val="24"/>
                <w:szCs w:val="24"/>
              </w:rPr>
              <w:t>、硬盘 ≥</w:t>
            </w:r>
            <w:r>
              <w:rPr>
                <w:rFonts w:hint="eastAsia" w:ascii="宋体" w:hAnsi="宋体" w:eastAsia="宋体" w:cs="宋体"/>
                <w:kern w:val="0"/>
                <w:sz w:val="24"/>
                <w:szCs w:val="24"/>
                <w:lang w:val="en-US" w:eastAsia="zh-CN"/>
              </w:rPr>
              <w:t>256</w:t>
            </w:r>
            <w:r>
              <w:rPr>
                <w:rFonts w:hint="eastAsia" w:ascii="宋体" w:hAnsi="宋体" w:eastAsia="宋体" w:cs="宋体"/>
                <w:kern w:val="0"/>
                <w:sz w:val="24"/>
                <w:szCs w:val="24"/>
              </w:rPr>
              <w:t xml:space="preserve"> GB M.2接口NVME协议SSD，配置1块3.5寸1T机械硬盘，≥5400 RPM；</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6</w:t>
            </w:r>
            <w:r>
              <w:rPr>
                <w:rFonts w:hint="eastAsia" w:ascii="宋体" w:hAnsi="宋体" w:eastAsia="宋体" w:cs="宋体"/>
                <w:kern w:val="0"/>
                <w:sz w:val="24"/>
                <w:szCs w:val="24"/>
              </w:rPr>
              <w:t>、网络 1个RJ45 10/100/1000自适应以太网口；</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7</w:t>
            </w:r>
            <w:r>
              <w:rPr>
                <w:rFonts w:hint="eastAsia" w:ascii="宋体" w:hAnsi="宋体" w:eastAsia="宋体" w:cs="宋体"/>
                <w:kern w:val="0"/>
                <w:sz w:val="24"/>
                <w:szCs w:val="24"/>
              </w:rPr>
              <w:t>、接口扩展  配置≥8个USB 接口，其中前置USB3.0</w:t>
            </w:r>
            <w:r>
              <w:rPr>
                <w:rFonts w:hint="eastAsia" w:ascii="宋体" w:hAnsi="宋体" w:eastAsia="宋体" w:cs="宋体"/>
                <w:kern w:val="0"/>
                <w:sz w:val="24"/>
                <w:szCs w:val="24"/>
                <w:lang w:eastAsia="zh-CN"/>
              </w:rPr>
              <w:t>及以上接口不少于</w:t>
            </w:r>
            <w:r>
              <w:rPr>
                <w:rFonts w:hint="eastAsia" w:ascii="宋体" w:hAnsi="宋体" w:eastAsia="宋体" w:cs="宋体"/>
                <w:kern w:val="0"/>
                <w:sz w:val="24"/>
                <w:szCs w:val="24"/>
                <w:lang w:val="en-US" w:eastAsia="zh-CN"/>
              </w:rPr>
              <w:t>4个</w:t>
            </w:r>
            <w:r>
              <w:rPr>
                <w:rFonts w:hint="eastAsia" w:ascii="宋体" w:hAnsi="宋体" w:eastAsia="宋体" w:cs="宋体"/>
                <w:kern w:val="0"/>
                <w:sz w:val="24"/>
                <w:szCs w:val="24"/>
              </w:rPr>
              <w:t>；1个RJ45网口，1个HDMI接口，1个VGA接口，前置1组音频接口，后置1组音频接口；</w:t>
            </w:r>
            <w:r>
              <w:rPr>
                <w:rFonts w:hint="eastAsia" w:ascii="宋体" w:hAnsi="宋体" w:eastAsia="宋体" w:cs="宋体"/>
                <w:kern w:val="0"/>
                <w:sz w:val="24"/>
                <w:szCs w:val="24"/>
              </w:rPr>
              <w:br w:type="textWrapping"/>
            </w:r>
            <w:r>
              <w:rPr>
                <w:rFonts w:hint="eastAsia" w:ascii="宋体" w:hAnsi="宋体" w:cs="宋体"/>
                <w:kern w:val="0"/>
                <w:sz w:val="24"/>
                <w:szCs w:val="24"/>
                <w:lang w:val="en-US" w:eastAsia="zh-CN"/>
              </w:rPr>
              <w:t>8</w:t>
            </w:r>
            <w:r>
              <w:rPr>
                <w:rFonts w:hint="eastAsia" w:ascii="宋体" w:hAnsi="宋体" w:eastAsia="宋体" w:cs="宋体"/>
                <w:kern w:val="0"/>
                <w:sz w:val="24"/>
                <w:szCs w:val="24"/>
              </w:rPr>
              <w:t xml:space="preserve">、易用性 </w:t>
            </w:r>
            <w:r>
              <w:rPr>
                <w:rFonts w:hint="eastAsia" w:ascii="宋体" w:hAnsi="宋体" w:cs="宋体"/>
                <w:kern w:val="0"/>
                <w:sz w:val="24"/>
                <w:szCs w:val="24"/>
                <w:lang w:val="en-US" w:eastAsia="zh-CN"/>
              </w:rPr>
              <w:t>方便拆卸机箱</w:t>
            </w:r>
            <w:r>
              <w:rPr>
                <w:rFonts w:hint="eastAsia" w:ascii="宋体" w:hAnsi="宋体" w:eastAsia="宋体" w:cs="宋体"/>
                <w:kern w:val="0"/>
                <w:sz w:val="24"/>
                <w:szCs w:val="24"/>
              </w:rPr>
              <w:t>；</w:t>
            </w:r>
            <w:r>
              <w:rPr>
                <w:rFonts w:hint="eastAsia" w:ascii="宋体" w:hAnsi="宋体" w:eastAsia="宋体" w:cs="宋体"/>
                <w:color w:val="FF0000"/>
                <w:kern w:val="0"/>
                <w:sz w:val="24"/>
                <w:szCs w:val="24"/>
              </w:rPr>
              <w:br w:type="textWrapping"/>
            </w:r>
            <w:r>
              <w:rPr>
                <w:rFonts w:hint="eastAsia" w:ascii="宋体" w:hAnsi="宋体" w:cs="宋体"/>
                <w:kern w:val="0"/>
                <w:sz w:val="24"/>
                <w:szCs w:val="24"/>
                <w:lang w:val="en-US" w:eastAsia="zh-CN"/>
              </w:rPr>
              <w:t>9</w:t>
            </w:r>
            <w:r>
              <w:rPr>
                <w:rFonts w:hint="eastAsia" w:ascii="宋体" w:hAnsi="宋体" w:eastAsia="宋体" w:cs="宋体"/>
                <w:kern w:val="0"/>
                <w:sz w:val="24"/>
                <w:szCs w:val="24"/>
              </w:rPr>
              <w:t>、数据安全 支持出厂备份还原、全盘备份还原和分区备份还原等功能</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br w:type="textWrapping"/>
            </w: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0</w:t>
            </w:r>
            <w:r>
              <w:rPr>
                <w:rFonts w:hint="eastAsia" w:ascii="宋体" w:hAnsi="宋体" w:eastAsia="宋体" w:cs="宋体"/>
                <w:kern w:val="0"/>
                <w:sz w:val="24"/>
                <w:szCs w:val="24"/>
              </w:rPr>
              <w:t>、质控水平 MTBF≥30000</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小时；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w:t>
            </w:r>
            <w:r>
              <w:rPr>
                <w:rFonts w:hint="eastAsia" w:ascii="宋体" w:hAnsi="宋体" w:cs="宋体"/>
                <w:kern w:val="0"/>
                <w:sz w:val="24"/>
                <w:szCs w:val="24"/>
                <w:lang w:val="en-US" w:eastAsia="zh-CN"/>
              </w:rPr>
              <w:t>1</w:t>
            </w:r>
            <w:r>
              <w:rPr>
                <w:rFonts w:hint="eastAsia" w:ascii="宋体" w:hAnsi="宋体" w:eastAsia="宋体" w:cs="宋体"/>
                <w:kern w:val="0"/>
                <w:sz w:val="24"/>
                <w:szCs w:val="24"/>
              </w:rPr>
              <w:t>、显示器 支持壁挂，≥23.8寸，分辨率1920*1080，≥1个HDMI</w:t>
            </w:r>
            <w:r>
              <w:rPr>
                <w:rFonts w:hint="eastAsia" w:ascii="宋体" w:hAnsi="宋体" w:eastAsia="宋体" w:cs="宋体"/>
                <w:kern w:val="0"/>
                <w:sz w:val="24"/>
                <w:szCs w:val="24"/>
                <w:lang w:eastAsia="zh-CN"/>
              </w:rPr>
              <w:t>及一其他接口</w:t>
            </w:r>
            <w:r>
              <w:rPr>
                <w:rFonts w:hint="eastAsia" w:ascii="宋体" w:hAnsi="宋体" w:eastAsia="宋体" w:cs="宋体"/>
                <w:kern w:val="0"/>
                <w:sz w:val="24"/>
                <w:szCs w:val="24"/>
              </w:rPr>
              <w:t>，且接口在下方，刷新率≥60HZ，支持低蓝光；</w:t>
            </w:r>
            <w:r>
              <w:rPr>
                <w:rFonts w:hint="eastAsia" w:ascii="宋体" w:hAnsi="宋体" w:eastAsia="宋体" w:cs="宋体"/>
                <w:color w:val="FF0000"/>
                <w:kern w:val="0"/>
                <w:sz w:val="24"/>
                <w:szCs w:val="24"/>
              </w:rPr>
              <w:br w:type="textWrapping"/>
            </w:r>
            <w:r>
              <w:rPr>
                <w:rFonts w:hint="eastAsia" w:ascii="宋体" w:hAnsi="宋体" w:eastAsia="宋体" w:cs="宋体"/>
                <w:kern w:val="0"/>
                <w:sz w:val="24"/>
                <w:szCs w:val="24"/>
              </w:rPr>
              <w:t>1</w:t>
            </w:r>
            <w:r>
              <w:rPr>
                <w:rFonts w:hint="eastAsia" w:ascii="宋体" w:hAnsi="宋体" w:cs="宋体"/>
                <w:kern w:val="0"/>
                <w:sz w:val="24"/>
                <w:szCs w:val="24"/>
                <w:lang w:val="en-US" w:eastAsia="zh-CN"/>
              </w:rPr>
              <w:t>2</w:t>
            </w:r>
            <w:r>
              <w:rPr>
                <w:rFonts w:hint="eastAsia" w:ascii="宋体" w:hAnsi="宋体" w:eastAsia="宋体" w:cs="宋体"/>
                <w:kern w:val="0"/>
                <w:sz w:val="24"/>
                <w:szCs w:val="24"/>
              </w:rPr>
              <w:t>、键鼠 配置一套</w:t>
            </w:r>
            <w:r>
              <w:rPr>
                <w:rFonts w:hint="eastAsia" w:ascii="宋体" w:hAnsi="宋体" w:eastAsia="宋体" w:cs="宋体"/>
                <w:kern w:val="0"/>
                <w:sz w:val="24"/>
                <w:szCs w:val="24"/>
                <w:lang w:eastAsia="zh-CN"/>
              </w:rPr>
              <w:t>原厂</w:t>
            </w:r>
            <w:r>
              <w:rPr>
                <w:rFonts w:hint="eastAsia" w:ascii="宋体" w:hAnsi="宋体" w:eastAsia="宋体" w:cs="宋体"/>
                <w:kern w:val="0"/>
                <w:sz w:val="24"/>
                <w:szCs w:val="24"/>
              </w:rPr>
              <w:t>有线USB接口的键盘鼠标；</w:t>
            </w:r>
          </w:p>
          <w:p>
            <w:pPr>
              <w:keepNext w:val="0"/>
              <w:keepLines w:val="0"/>
              <w:widowControl/>
              <w:numPr>
                <w:ilvl w:val="0"/>
                <w:numId w:val="0"/>
              </w:numPr>
              <w:suppressLineNumbers w:val="0"/>
              <w:ind w:leftChars="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13、</w:t>
            </w:r>
            <w:r>
              <w:rPr>
                <w:rFonts w:hint="eastAsia" w:ascii="宋体" w:hAnsi="宋体" w:eastAsia="宋体" w:cs="宋体"/>
                <w:i w:val="0"/>
                <w:iCs w:val="0"/>
                <w:color w:val="000000"/>
                <w:kern w:val="0"/>
                <w:sz w:val="24"/>
                <w:szCs w:val="24"/>
                <w:u w:val="none"/>
                <w:lang w:val="en-US" w:eastAsia="zh-CN" w:bidi="ar"/>
              </w:rPr>
              <w:t>需提供厂家售后服务承诺函原件（加盖厂家公章）。</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操作系统</w:t>
            </w:r>
          </w:p>
        </w:tc>
        <w:tc>
          <w:tcPr>
            <w:tcW w:w="81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numPr>
                <w:ilvl w:val="0"/>
                <w:numId w:val="0"/>
              </w:numPr>
              <w:suppressLineNumbers w:val="0"/>
              <w:jc w:val="left"/>
              <w:textAlignment w:val="top"/>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国产操作系统</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1、操作系统软件具有应用商店，应用商店可提供教育行业应用商店，可提供系统截图证明；</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2、操作系统软件默认安装操作系统原厂青少年上网保护插件，对低俗垃圾广告拦截、不良内容拦截、跨网站跟踪用户信息链接。需提供系统截图证明与青少年上网保护软件著作登记证书。</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3、智能上网保护：支持在线网页中低俗广告拦截、支持在线网页中性感图片、性感视频拦截、支持在线查阅广告拦截统计、不良内容拦截统计、支持在线对网上有害信息举报</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4、智能护眼健康：提供专业眼保健操视频、提供护眼屏保、提供护眼色温调节、提供休息提醒</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AI智能助手：系统集成AI功能，支持主流国产AI大模型，包括百度千帆、讯飞星火、360智脑与智谱等。支持使用文字或者语音输入的方式多模态的输入与输出。支持通过AI进行问答和内容生成，解决疑问解答、语言学习、创意写作等具体问题，助力高效学习和工作。</w:t>
            </w:r>
          </w:p>
          <w:p>
            <w:pPr>
              <w:keepNext w:val="0"/>
              <w:keepLines w:val="0"/>
              <w:widowControl/>
              <w:numPr>
                <w:ilvl w:val="0"/>
                <w:numId w:val="0"/>
              </w:numPr>
              <w:suppressLineNumbers w:val="0"/>
              <w:jc w:val="left"/>
              <w:textAlignment w:val="top"/>
              <w:rPr>
                <w:rFonts w:hint="eastAsia" w:ascii="宋体" w:hAnsi="宋体" w:eastAsia="宋体" w:cs="宋体"/>
                <w:i w:val="0"/>
                <w:iCs w:val="0"/>
                <w:color w:val="FF0000"/>
                <w:sz w:val="24"/>
                <w:szCs w:val="24"/>
                <w:u w:val="none"/>
              </w:rPr>
            </w:pPr>
            <w:r>
              <w:rPr>
                <w:rFonts w:hint="eastAsia" w:ascii="宋体" w:hAnsi="宋体" w:eastAsia="宋体" w:cs="宋体"/>
                <w:i w:val="0"/>
                <w:iCs w:val="0"/>
                <w:color w:val="000000"/>
                <w:sz w:val="24"/>
                <w:szCs w:val="24"/>
                <w:u w:val="none"/>
              </w:rPr>
              <w:t>6、操作系统系统支持保障安全升级的自动主备双根分区以及备份分区，并且在系统中有双根分区和备份分区标识（如：RootA和RootB、Recovery/Backup标识符），在系统升级后支持回滚、备份还原，并保留用户个人数据，提供功能截图证明。</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办公软件</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rPr>
              <w:t>1、操作习惯兼容：软件界面与微软office界面在菜单排布和功能界面的操作使用上保持相似；</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2、界面样式多样性：支持窗口多组件/整合模式，支持进行单窗口多标签的拆分与组合，在多窗口模式下支持在系统任务栏显示多主窗口；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3、支持主题外观皮肤选择；</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4、具备文字、表格、演示各组建基础模板，便于教职工编辑文档直接使用；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5、支持在表格中一键插入求和、计数、平均值等常用函数公式。支持多列数据合并操作。支持单元格数据的循环引用；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6、文字、表格、演示模块均支持图形、图片对象各类属性的即时预览，如图形填充色、线条样式、线条粗细、线条虚实、箭头样式及阴影、映像、发光效果的即时预览；</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7、演示模块插入音频视频文件后在本应用中即可播放多媒体文件，无需调用其他播放软件，并且提供多种播放模式供选择。</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8、在文字、演示模块，中选择插入表格操作时，浮框支持即时预览插入效果；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9、在文字模块，右键插入行数的手动输入，便于一次性插入多行；</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10、在演示模块，表格可以选择表格样式，选择样式即可预览样式效果；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11、表格模块中支持数据自动生成柱形图、折线图、饼状图、条形图、面积图、xy散点图、股价图、雷达图、组合图等形式，各种类型之间可方便转换。支持图表定位到单元格中；</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12、格式兼容性：办公软件能生成.wps/.et/.dps等文件格式。双向兼容：各功能模块与微软 Office的Word、Excel、Powerpoint 三个功能模块相互兼容，支持格式包括且不限于 doc、docx、xls、xlsx、ppt、pptx、pdf、txt、xml。</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13、支持档修复：需支持修复打不开或损坏的文档，文档格式需支持Word/Excel/PPT/非纯图的PDF等；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14、文字模块支持智能目录导航，自动识别文档结构，实时调整文档目录；标题格式不用调整样式，也可智能自动生成目录；</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15、表格模块支持表格的快速合并选择，支持教师一键选择合并居中、合并单元格、合并相同单元格、合并内容、取消合并单元格、拆分并填充内容；</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16、演示模块，支持手机移动OFFICE客户端进行控制PC端OFFICE放映的演示文档，实现把手机变成遥控器，便于演讲人能随时切换演示文档。</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桌面云管理系统</w:t>
            </w:r>
          </w:p>
        </w:tc>
        <w:tc>
          <w:tcPr>
            <w:tcW w:w="8100" w:type="dxa"/>
            <w:tcBorders>
              <w:top w:val="single" w:color="000000" w:sz="4" w:space="0"/>
              <w:left w:val="single" w:color="000000" w:sz="4" w:space="0"/>
              <w:bottom w:val="single" w:color="000000" w:sz="4" w:space="0"/>
              <w:right w:val="single" w:color="000000" w:sz="4" w:space="0"/>
            </w:tcBorders>
            <w:vAlign w:val="top"/>
          </w:tcPr>
          <w:p>
            <w:pPr>
              <w:bidi w:val="0"/>
              <w:rPr>
                <w:rFonts w:hint="eastAsia" w:ascii="宋体" w:hAnsi="宋体" w:eastAsia="宋体" w:cs="宋体"/>
                <w:sz w:val="24"/>
                <w:szCs w:val="24"/>
              </w:rPr>
            </w:pPr>
            <w:r>
              <w:rPr>
                <w:rFonts w:hint="eastAsia" w:ascii="宋体" w:hAnsi="宋体" w:eastAsia="宋体" w:cs="宋体"/>
                <w:sz w:val="24"/>
                <w:szCs w:val="24"/>
              </w:rPr>
              <w:t>1、采用中央服务器管理模式，服务端支持主流的国产硬件平台和国产操作系统（UOS、kylin等），通过一台服务器管理不同品牌、不同架构的终端和主流操作系统。</w:t>
            </w:r>
          </w:p>
          <w:p>
            <w:pPr>
              <w:bidi w:val="0"/>
              <w:rPr>
                <w:rFonts w:hint="eastAsia" w:ascii="宋体" w:hAnsi="宋体" w:eastAsia="宋体" w:cs="宋体"/>
                <w:sz w:val="24"/>
                <w:szCs w:val="24"/>
              </w:rPr>
            </w:pPr>
            <w:r>
              <w:rPr>
                <w:rFonts w:hint="eastAsia" w:ascii="宋体" w:hAnsi="宋体" w:eastAsia="宋体" w:cs="宋体"/>
                <w:sz w:val="24"/>
                <w:szCs w:val="24"/>
              </w:rPr>
              <w:t>2、软件负载要求：单台入门级的服务器（或主流PC）可管理客户端≥600台；</w:t>
            </w:r>
          </w:p>
          <w:p>
            <w:pPr>
              <w:bidi w:val="0"/>
              <w:rPr>
                <w:rFonts w:hint="eastAsia" w:ascii="宋体" w:hAnsi="宋体" w:eastAsia="宋体" w:cs="宋体"/>
                <w:sz w:val="24"/>
                <w:szCs w:val="24"/>
              </w:rPr>
            </w:pPr>
            <w:r>
              <w:rPr>
                <w:rFonts w:hint="eastAsia" w:ascii="宋体" w:hAnsi="宋体" w:eastAsia="宋体" w:cs="宋体"/>
                <w:sz w:val="24"/>
                <w:szCs w:val="24"/>
              </w:rPr>
              <w:t>3、管理系统可以统计终端用户数量、终端数量、虚拟磁盘数量和镜像数量等信息，同时可以统计服务器信息、CPU、内存及硬盘的使用率</w:t>
            </w:r>
          </w:p>
          <w:p>
            <w:pPr>
              <w:bidi w:val="0"/>
              <w:rPr>
                <w:rFonts w:hint="eastAsia" w:ascii="宋体" w:hAnsi="宋体" w:eastAsia="宋体" w:cs="宋体"/>
                <w:sz w:val="24"/>
                <w:szCs w:val="24"/>
              </w:rPr>
            </w:pPr>
            <w:r>
              <w:rPr>
                <w:rFonts w:hint="eastAsia" w:ascii="宋体" w:hAnsi="宋体" w:eastAsia="宋体" w:cs="宋体"/>
                <w:sz w:val="24"/>
                <w:szCs w:val="24"/>
              </w:rPr>
              <w:t>4、服务端授权采用数量授权方式，不绑定终端硬件信息，可以在终端设备发生故障时，在不超过授权数量的情况下，可以随意替换损坏的终端，不需要和厂商再次申请授权的过程，减少因为设备损坏时申请授权的等待时间，及时的恢复教学环境的正常运行。</w:t>
            </w:r>
          </w:p>
          <w:p>
            <w:pPr>
              <w:bidi w:val="0"/>
              <w:rPr>
                <w:rFonts w:hint="eastAsia" w:ascii="宋体" w:hAnsi="宋体" w:eastAsia="宋体" w:cs="宋体"/>
                <w:sz w:val="24"/>
                <w:szCs w:val="24"/>
              </w:rPr>
            </w:pPr>
            <w:r>
              <w:rPr>
                <w:rFonts w:hint="eastAsia" w:ascii="宋体" w:hAnsi="宋体" w:eastAsia="宋体" w:cs="宋体"/>
                <w:sz w:val="24"/>
                <w:szCs w:val="24"/>
              </w:rPr>
              <w:t>5、系统服务端集成不同硬件架构的底层系统、客户端程序及数据库导入导出工具等，维护人员根据需求可以直接从服务端进行下载，无需找原始安装文件</w:t>
            </w:r>
          </w:p>
          <w:p>
            <w:pPr>
              <w:bidi w:val="0"/>
              <w:rPr>
                <w:rFonts w:hint="eastAsia" w:ascii="宋体" w:hAnsi="宋体" w:eastAsia="宋体" w:cs="宋体"/>
                <w:sz w:val="24"/>
                <w:szCs w:val="24"/>
              </w:rPr>
            </w:pPr>
            <w:r>
              <w:rPr>
                <w:rFonts w:hint="eastAsia" w:ascii="宋体" w:hAnsi="宋体" w:eastAsia="宋体" w:cs="宋体"/>
                <w:sz w:val="24"/>
                <w:szCs w:val="24"/>
              </w:rPr>
              <w:t>6、具有独立的前端可视化管理平台，并且只有执行权限，管理员可以根据需求，提前设定好的指令和策略的操作模块，减少一线操作员的误操作几率的发生。</w:t>
            </w:r>
          </w:p>
          <w:p>
            <w:pPr>
              <w:bidi w:val="0"/>
              <w:rPr>
                <w:rFonts w:hint="eastAsia" w:ascii="宋体" w:hAnsi="宋体" w:eastAsia="宋体" w:cs="宋体"/>
                <w:sz w:val="24"/>
                <w:szCs w:val="24"/>
              </w:rPr>
            </w:pPr>
            <w:r>
              <w:rPr>
                <w:rFonts w:hint="eastAsia" w:ascii="宋体" w:hAnsi="宋体" w:eastAsia="宋体" w:cs="宋体"/>
                <w:sz w:val="24"/>
                <w:szCs w:val="24"/>
              </w:rPr>
              <w:t>7、在受保护的系统或分区中，可以自定义某个文件夹内的所有内容，不进行还原，即保护了系统，也可以对一些特殊的应用程序特有的属性进行独立保护</w:t>
            </w:r>
          </w:p>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sz w:val="24"/>
                <w:szCs w:val="24"/>
              </w:rPr>
              <w:t>8、系统支持软、硬件异构融合功能，相同硬件架构不同配置的终端可以使用同一镜像进行下发部署。</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机房互动软件</w:t>
            </w:r>
          </w:p>
        </w:tc>
        <w:tc>
          <w:tcPr>
            <w:tcW w:w="8100"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共享白板：系统支持导入图片创建白板内容，将白板内容共享给学生，教师可以选择某个学生控制老师的白板内容实现共同交互答题。教师也可以允许学生个人绘画模式在老师导入的素材白板内容基础上独立完成学习任务，教师可以监看所有学生的完成情况，同时可以把指定学生绘画的白板内容分享给其他同学欣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2、支持loongnix、UOS、Kylin、方德操作系统。</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3、试卷编辑：教师可通过答题卡编辑器插入图片，直接生成答题卡用于学生作答，试题类型包含选择题、判断题、填空题、论述题和手写题。教师可在答题卡中为客观题设置正确答案，为主观题设置参考答案。</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4、快速考试：教师可使用快速答题卡用于学生作答，输入考试名称、考试时间、试题类型、试题数量和试题分数即可快速发起考试，试题类型包含选择题、判断题、填空题、论述题和手写题。</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5、自定义考试：教师可使用自定义答题卡，将通过答题卡编辑器创建的答题卡导入试卷，分发给学生即可开始考试。开始考试后，教师可查看学生的答题进度。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6、阅卷评分：考试结束后自动弹出评分界面，客观题可自动评分，教师只需对主观题进行手动评分，支持将考试评分结果发送给相应的学生，并支持将考试评分结果以网页形式导出到本地。</w:t>
            </w:r>
            <w:r>
              <w:rPr>
                <w:rFonts w:hint="eastAsia" w:ascii="宋体" w:hAnsi="宋体" w:eastAsia="宋体" w:cs="宋体"/>
                <w:color w:val="FF0000"/>
                <w:kern w:val="0"/>
                <w:sz w:val="24"/>
                <w:szCs w:val="24"/>
              </w:rPr>
              <w:br w:type="textWrapping"/>
            </w:r>
            <w:r>
              <w:rPr>
                <w:rFonts w:hint="eastAsia" w:ascii="宋体" w:hAnsi="宋体" w:eastAsia="宋体" w:cs="宋体"/>
                <w:kern w:val="0"/>
                <w:sz w:val="24"/>
                <w:szCs w:val="24"/>
              </w:rPr>
              <w:t>7、</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抢答和竞答：组织全体或分组的快速抢答问题，有抢答口述回复、抢答文字回复、抢答屏幕转播回复三种方式，抢答对错后老师可以选择五角星+数字的方式给予学生相应奖励结果，并可根据题目的难易程度给出不同的分值，竞赛支持同一小组内排名。（提供功能截图并加盖</w:t>
            </w:r>
            <w:r>
              <w:rPr>
                <w:rFonts w:hint="eastAsia" w:ascii="宋体" w:hAnsi="宋体" w:eastAsia="宋体" w:cs="宋体"/>
                <w:kern w:val="0"/>
                <w:sz w:val="24"/>
                <w:szCs w:val="24"/>
                <w:lang w:val="en-US" w:eastAsia="zh-CN"/>
              </w:rPr>
              <w:t>生产厂家</w:t>
            </w:r>
            <w:r>
              <w:rPr>
                <w:rFonts w:hint="eastAsia" w:ascii="宋体" w:hAnsi="宋体" w:eastAsia="宋体" w:cs="宋体"/>
                <w:kern w:val="0"/>
                <w:sz w:val="24"/>
                <w:szCs w:val="24"/>
              </w:rPr>
              <w:t>公章）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8、扩展屏广播模式：教师机连接两个显示器，可在广播时选择将任意一个显示器的内容广播到学生机。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网络影院：采用流媒体技术，可实现教师机播放的视频同步无延时广播到学生机，学生无需下载该文件，教师也无需共享该文件。支持VCD、DVD、AVI等主流文件格式，支持720p、1080p高清视频。网络快照：教师可以在监控学生的时候，对学生画面拍快照或者录制，保存学生画面的截图或桌面视频。</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10、签到：提供学生名单管理工具，为软件和考试模块提供实名验证。提供点名功能，支持保留学生多次登录记录、考勤统计、签到信息的导出与对比，支持csv 格式的导出。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11、分组讨论：可以进行教师将学生分组，同组的组员可以相互讨论，教师可以参加任意组的讨论。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13、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14、自动锁屏：独有的断线保护自动锁屏技术，通过网卡的是否激活来锁定屏幕，避免学生拔掉网线违反纪律。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15、防杀进程：为安全起见，学生端程序运行后，防止学生通过任务管理器结束学生端程序进程来逃脱教师控制。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16、请求帮助：学生端遇到问题可请求帮助，教师端可远程遥控帮助学生解决问题。</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17、远程消息：教师与学生能够使用远程消息进行交流，并可以允许和阻止学生发送文字消息。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18、黑屏肃静：教师可以对单一、部分、全体学生执行或解除黑屏操作，教师可自定义黑屏的内容与图片。</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19、键鼠禁用：教师可以对单一、部分、全体学生禁用键鼠操作，禁用时学生端鼠标和键盘被锁定，学生无法进行任何操作。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20、远程命令：教师可进行远程打开网页、开机、关机、重启、关闭应用程序等操作。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#21、视图模式：软件提供监控视图、详细信息视图、策略视图、文件提交视图、答题卡视图、抢答竞赛视图、共享白板视图。（厂家提供CSTC标识的软件评测中心检测报告并加盖</w:t>
            </w:r>
            <w:r>
              <w:rPr>
                <w:rFonts w:hint="eastAsia" w:ascii="宋体" w:hAnsi="宋体" w:cs="宋体"/>
                <w:kern w:val="0"/>
                <w:sz w:val="24"/>
                <w:szCs w:val="24"/>
                <w:lang w:val="en-US" w:eastAsia="zh-CN"/>
              </w:rPr>
              <w:t>生产厂家</w:t>
            </w:r>
            <w:r>
              <w:rPr>
                <w:rFonts w:hint="eastAsia" w:ascii="宋体" w:hAnsi="宋体" w:eastAsia="宋体" w:cs="宋体"/>
                <w:kern w:val="0"/>
                <w:sz w:val="24"/>
                <w:szCs w:val="24"/>
              </w:rPr>
              <w:t>公章）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22、另具备屏幕广播、学生演示、网络影院、远程开关机、远程命令、屏幕监看、举手、发言、防杀进程、黑屏肃静、文件分发、文件收集等功能。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#23、加密方式：系统可进行在线序列号加密和离线文件加密。（厂家提供CSTC标识的软件评测中心检测报告并加盖</w:t>
            </w:r>
            <w:r>
              <w:rPr>
                <w:rFonts w:hint="eastAsia" w:ascii="宋体" w:hAnsi="宋体" w:cs="宋体"/>
                <w:kern w:val="0"/>
                <w:sz w:val="24"/>
                <w:szCs w:val="24"/>
                <w:lang w:val="en-US" w:eastAsia="zh-CN"/>
              </w:rPr>
              <w:t>生产厂家</w:t>
            </w:r>
            <w:r>
              <w:rPr>
                <w:rFonts w:hint="eastAsia" w:ascii="宋体" w:hAnsi="宋体" w:eastAsia="宋体" w:cs="宋体"/>
                <w:kern w:val="0"/>
                <w:sz w:val="24"/>
                <w:szCs w:val="24"/>
              </w:rPr>
              <w:t>公章）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24、多教室同时授课时系统登录支持学生端选择在线的任意老师端进入授课方式。</w:t>
            </w:r>
            <w:r>
              <w:rPr>
                <w:rFonts w:hint="eastAsia" w:ascii="宋体" w:hAnsi="宋体" w:eastAsia="宋体" w:cs="宋体"/>
                <w:color w:val="FF0000"/>
                <w:kern w:val="0"/>
                <w:sz w:val="24"/>
                <w:szCs w:val="24"/>
              </w:rPr>
              <w:br w:type="textWrapping"/>
            </w:r>
            <w:r>
              <w:rPr>
                <w:rFonts w:hint="eastAsia" w:ascii="宋体" w:hAnsi="宋体" w:cs="宋体"/>
                <w:color w:val="000000"/>
                <w:kern w:val="0"/>
                <w:sz w:val="24"/>
                <w:szCs w:val="24"/>
                <w:lang w:val="en-US" w:eastAsia="zh-CN"/>
              </w:rPr>
              <w:t>#</w:t>
            </w:r>
            <w:r>
              <w:rPr>
                <w:rFonts w:hint="eastAsia" w:ascii="宋体" w:hAnsi="宋体" w:eastAsia="宋体" w:cs="宋体"/>
                <w:kern w:val="0"/>
                <w:sz w:val="24"/>
                <w:szCs w:val="24"/>
              </w:rPr>
              <w:t>25、客户端策略限制：具有客户端自行断网后自动启用断网锁屏功能、主控端通过黑白名单功能开启网页限制功能、主控端还可以开启对学生电脑的U盘限制功能。</w:t>
            </w:r>
            <w:r>
              <w:rPr>
                <w:rFonts w:hint="eastAsia" w:ascii="宋体" w:hAnsi="宋体" w:cs="宋体"/>
                <w:kern w:val="0"/>
                <w:sz w:val="24"/>
                <w:szCs w:val="24"/>
                <w:lang w:eastAsia="zh-CN"/>
              </w:rPr>
              <w:t>（</w:t>
            </w:r>
            <w:r>
              <w:rPr>
                <w:rFonts w:hint="eastAsia" w:ascii="宋体" w:hAnsi="宋体" w:cs="宋体"/>
                <w:kern w:val="0"/>
                <w:sz w:val="24"/>
                <w:szCs w:val="24"/>
                <w:lang w:val="en-US" w:eastAsia="zh-CN"/>
              </w:rPr>
              <w:t>厂家提供功能截图并加盖生产厂家公章）</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6</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系统具有CSTC软件评测中心的“软件产品检测报告”。</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1.支持48个10/100/1000BASE-T电口,支持4个1000BASE-X SFP端口,支持AC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2.交换容量：496Gbps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3.包转发率：126Mpps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4.支持G.8032以太网环保护协议ERPS，切换时间≤50ms，可兼容其他支持该协议的产品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5.支持SNMP、支持RMON告警、事件、历史记录、支持iMC网管系统、支持NTP、支持命令行接口（CLI）配置、支持SSH2.0、支持FTP、支持TFTP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6.端口防雷：10Kv</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学生桌</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1、二人位：L1400×W600×H750mm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2、桌面采用25毫米三聚氰胺板（两侧材质为PVC封边），面材采用优质三聚氰胺板，甲醛释放达到国家E1级环保要求。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3、桌体桌面前沿支撑骨架采用冷轧钢板折弯而成，壁厚大于1mm，表面经酸洗、磷化防腐防锈处理后静电喷塑。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桌腿采用蝴蝶型钢脚，钢管为1.2mm。中间为1.0mm冷轧钢板，高度725mm，底部配有隐形可敲漏50mm进线孔，配有尼龙可调节脚，耐用防滑。侧置纵向主机机箱，坚固耐用，结构牢固美观，经过除油、酸洗、磷化、打磨、静电喷塑。</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学生凳</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1、规格：340×240×440mm，钢木结构。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2、凳面：采用E1级25mm厚三聚氰胺板。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3、框架采用25×25×1.0mm 优质方管。经过除油、酸洗、磷化、打磨、静电喷塑。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4、封边：截面采用优质PVC封条机械封边。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5、工艺：钢制框架，所有焊接部位均采用二氧化碳保护焊接工艺。</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防静电地板</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1、规格：≥600mm*600mm*38mm。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2、材质：陶瓷面。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3、采用优质一级冷轧钢板拉伸成型点焊，上层采用冷轧钢板，下层采用优质抗拉钢板冲压形成，两层经过冲压形成钢壳，钢壳内填充发泡水泥；表面采用耐磨防静电陶瓷面，四周镶嵌导电条。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4、地板支柱配件、包边、包角等。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5、防静电地板安装敷设。</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设备拆除</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1、100.8及183.6平米旧设备拆除搬运到指定地点</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校园模考系统学生耳机</w:t>
            </w:r>
          </w:p>
        </w:tc>
        <w:tc>
          <w:tcPr>
            <w:tcW w:w="8100" w:type="dxa"/>
            <w:tcBorders>
              <w:top w:val="single" w:color="000000" w:sz="4" w:space="0"/>
              <w:left w:val="single" w:color="000000" w:sz="4" w:space="0"/>
              <w:bottom w:val="single" w:color="000000" w:sz="4" w:space="0"/>
              <w:right w:val="single" w:color="000000" w:sz="4" w:space="0"/>
            </w:tcBorders>
            <w:vAlign w:val="center"/>
          </w:tcPr>
          <w:p>
            <w:pPr>
              <w:bidi w:val="0"/>
              <w:rPr>
                <w:rFonts w:hint="eastAsia" w:ascii="宋体" w:hAnsi="宋体" w:eastAsia="宋体" w:cs="宋体"/>
                <w:sz w:val="24"/>
                <w:szCs w:val="24"/>
              </w:rPr>
            </w:pPr>
            <w:r>
              <w:rPr>
                <w:rFonts w:hint="eastAsia" w:ascii="宋体" w:hAnsi="宋体" w:eastAsia="宋体" w:cs="宋体"/>
                <w:sz w:val="24"/>
                <w:szCs w:val="24"/>
              </w:rPr>
              <w:t>1.双头梁耳麦，头梁自适应调节，佩戴时无需手动调整。包耳式耳罩，隔音效果良好，耳罩可拆卸更换。耳麦整体无音量调节旋钮或按钮。</w:t>
            </w:r>
          </w:p>
          <w:p>
            <w:pPr>
              <w:bidi w:val="0"/>
              <w:rPr>
                <w:rFonts w:hint="eastAsia" w:ascii="宋体" w:hAnsi="宋体" w:eastAsia="宋体" w:cs="宋体"/>
                <w:sz w:val="24"/>
                <w:szCs w:val="24"/>
              </w:rPr>
            </w:pPr>
            <w:r>
              <w:rPr>
                <w:rFonts w:hint="eastAsia" w:ascii="宋体" w:hAnsi="宋体" w:eastAsia="宋体" w:cs="宋体"/>
                <w:sz w:val="24"/>
                <w:szCs w:val="24"/>
              </w:rPr>
              <w:t>2.内置双声道声卡。主流操作系统免驱，即插即用。USB2.0接口，线长2.5米以上，具有抗干扰磁环，具有绿色LED指示灯。</w:t>
            </w:r>
          </w:p>
          <w:p>
            <w:pPr>
              <w:bidi w:val="0"/>
              <w:rPr>
                <w:rFonts w:hint="eastAsia" w:ascii="宋体" w:hAnsi="宋体" w:eastAsia="宋体" w:cs="宋体"/>
                <w:sz w:val="24"/>
                <w:szCs w:val="24"/>
              </w:rPr>
            </w:pPr>
            <w:r>
              <w:rPr>
                <w:rFonts w:hint="eastAsia" w:ascii="宋体" w:hAnsi="宋体" w:eastAsia="宋体" w:cs="宋体"/>
                <w:sz w:val="24"/>
                <w:szCs w:val="24"/>
              </w:rPr>
              <w:t>3.麦克风参数：超心型指向性；（麦克风位置具有方向指示标志）麦克风正对声源（0°）与背对（180°）声源时，拾取信号强度相差10dB以上；灵敏度：-35dB（±3dB）；频响：100Hz - 10kHz；信噪比：＞50dB；连接杆长度：≥18cm，旋转角度：＞120°。</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4.喇叭直径：40mm 钕铁硼喇叭；阻抗：32Ω（±15%）；灵敏度：108±3dB；频响：20Hz - 20kHz；功率：20mW。</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校园模考系统使用服务费</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需要把原来机房的模考软件，迁移到新的国产化机房，服务期1年。</w:t>
            </w:r>
          </w:p>
          <w:p>
            <w:pPr>
              <w:keepNext w:val="0"/>
              <w:keepLines w:val="0"/>
              <w:widowControl/>
              <w:numPr>
                <w:ilvl w:val="0"/>
                <w:numId w:val="0"/>
              </w:numPr>
              <w:suppressLineNumbers w:val="0"/>
              <w:tabs>
                <w:tab w:val="center" w:pos="2329"/>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w:t>
            </w:r>
          </w:p>
        </w:tc>
        <w:tc>
          <w:tcPr>
            <w:tcW w:w="81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根据用户实际需求定制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机壳材质：优质冷轧钢板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内配有7个2P防漏电空气开关，1个3P电空气开关，1个防雷保护器。</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网线</w:t>
            </w:r>
          </w:p>
        </w:tc>
        <w:tc>
          <w:tcPr>
            <w:tcW w:w="8100" w:type="dxa"/>
            <w:tcBorders>
              <w:top w:val="single" w:color="000000" w:sz="4" w:space="0"/>
              <w:left w:val="single" w:color="000000" w:sz="4" w:space="0"/>
              <w:bottom w:val="single" w:color="000000" w:sz="4" w:space="0"/>
              <w:right w:val="single" w:color="000000" w:sz="4" w:space="0"/>
            </w:tcBorders>
            <w:vAlign w:val="center"/>
          </w:tcPr>
          <w:p>
            <w:pPr>
              <w:bidi w:val="0"/>
              <w:rPr>
                <w:rFonts w:hint="eastAsia" w:ascii="宋体" w:hAnsi="宋体" w:eastAsia="宋体" w:cs="宋体"/>
                <w:sz w:val="24"/>
                <w:szCs w:val="24"/>
              </w:rPr>
            </w:pPr>
            <w:r>
              <w:rPr>
                <w:rFonts w:hint="eastAsia" w:ascii="宋体" w:hAnsi="宋体" w:eastAsia="宋体" w:cs="宋体"/>
                <w:sz w:val="24"/>
                <w:szCs w:val="24"/>
              </w:rPr>
              <w:t>六类非屏蔽双绞线</w:t>
            </w:r>
          </w:p>
          <w:p>
            <w:pPr>
              <w:bidi w:val="0"/>
              <w:rPr>
                <w:rFonts w:hint="eastAsia" w:ascii="宋体" w:hAnsi="宋体" w:eastAsia="宋体" w:cs="宋体"/>
                <w:sz w:val="24"/>
                <w:szCs w:val="24"/>
              </w:rPr>
            </w:pPr>
            <w:r>
              <w:rPr>
                <w:rFonts w:hint="eastAsia" w:ascii="宋体" w:hAnsi="宋体" w:eastAsia="宋体" w:cs="宋体"/>
                <w:sz w:val="24"/>
                <w:szCs w:val="24"/>
              </w:rPr>
              <w:t>材质：OFC/PVC</w:t>
            </w:r>
          </w:p>
          <w:p>
            <w:pPr>
              <w:keepNext w:val="0"/>
              <w:keepLines w:val="0"/>
              <w:widowControl/>
              <w:numPr>
                <w:ilvl w:val="0"/>
                <w:numId w:val="0"/>
              </w:numPr>
              <w:suppressLineNumbers w:val="0"/>
              <w:tabs>
                <w:tab w:val="center" w:pos="2329"/>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线芯：23AWG纯铜芯</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网络配线架</w:t>
            </w:r>
          </w:p>
        </w:tc>
        <w:tc>
          <w:tcPr>
            <w:tcW w:w="81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端口：≥24口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重量：≥0.89kg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插拔：≥750次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端接：≥250次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尺寸：≥480mm*44.5mm</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网络理线器</w:t>
            </w:r>
          </w:p>
        </w:tc>
        <w:tc>
          <w:tcPr>
            <w:tcW w:w="81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产品材质：spcc冷轧钢板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端口：≥24口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工艺：锻压、粉末电镀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颜色：黑色</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网络跳线</w:t>
            </w:r>
          </w:p>
        </w:tc>
        <w:tc>
          <w:tcPr>
            <w:tcW w:w="8100" w:type="dxa"/>
            <w:tcBorders>
              <w:top w:val="single" w:color="000000" w:sz="4" w:space="0"/>
              <w:left w:val="single" w:color="000000" w:sz="4" w:space="0"/>
              <w:bottom w:val="single" w:color="000000" w:sz="4" w:space="0"/>
              <w:right w:val="single" w:color="000000" w:sz="4" w:space="0"/>
            </w:tcBorders>
            <w:vAlign w:val="center"/>
          </w:tcPr>
          <w:p>
            <w:pPr>
              <w:bidi w:val="0"/>
              <w:rPr>
                <w:rFonts w:hint="eastAsia" w:ascii="宋体" w:hAnsi="宋体" w:eastAsia="宋体" w:cs="宋体"/>
                <w:sz w:val="24"/>
                <w:szCs w:val="24"/>
              </w:rPr>
            </w:pPr>
            <w:r>
              <w:rPr>
                <w:rFonts w:hint="eastAsia" w:ascii="宋体" w:hAnsi="宋体" w:eastAsia="宋体" w:cs="宋体"/>
                <w:sz w:val="24"/>
                <w:szCs w:val="24"/>
              </w:rPr>
              <w:t>传输带宽：≥250MHz</w:t>
            </w:r>
          </w:p>
          <w:p>
            <w:pPr>
              <w:bidi w:val="0"/>
              <w:rPr>
                <w:rFonts w:hint="eastAsia" w:ascii="宋体" w:hAnsi="宋体" w:eastAsia="宋体" w:cs="宋体"/>
                <w:sz w:val="24"/>
                <w:szCs w:val="24"/>
              </w:rPr>
            </w:pPr>
            <w:r>
              <w:rPr>
                <w:rFonts w:hint="eastAsia" w:ascii="宋体" w:hAnsi="宋体" w:eastAsia="宋体" w:cs="宋体"/>
                <w:sz w:val="24"/>
                <w:szCs w:val="24"/>
              </w:rPr>
              <w:t>传输速度：≥1000Mbps</w:t>
            </w:r>
          </w:p>
          <w:p>
            <w:pPr>
              <w:bidi w:val="0"/>
              <w:rPr>
                <w:rFonts w:hint="eastAsia" w:ascii="宋体" w:hAnsi="宋体" w:eastAsia="宋体" w:cs="宋体"/>
                <w:sz w:val="24"/>
                <w:szCs w:val="24"/>
              </w:rPr>
            </w:pPr>
            <w:r>
              <w:rPr>
                <w:rFonts w:hint="eastAsia" w:ascii="宋体" w:hAnsi="宋体" w:eastAsia="宋体" w:cs="宋体"/>
                <w:sz w:val="24"/>
                <w:szCs w:val="24"/>
              </w:rPr>
              <w:t>外被：环保PVC</w:t>
            </w:r>
          </w:p>
          <w:p>
            <w:pPr>
              <w:bidi w:val="0"/>
              <w:rPr>
                <w:rFonts w:hint="eastAsia" w:ascii="宋体" w:hAnsi="宋体" w:eastAsia="宋体" w:cs="宋体"/>
                <w:sz w:val="24"/>
                <w:szCs w:val="24"/>
              </w:rPr>
            </w:pPr>
            <w:r>
              <w:rPr>
                <w:rFonts w:hint="eastAsia" w:ascii="宋体" w:hAnsi="宋体" w:eastAsia="宋体" w:cs="宋体"/>
                <w:sz w:val="24"/>
                <w:szCs w:val="24"/>
              </w:rPr>
              <w:t>接口：镀金接口</w:t>
            </w:r>
          </w:p>
          <w:p>
            <w:pPr>
              <w:bidi w:val="0"/>
              <w:rPr>
                <w:rFonts w:hint="eastAsia" w:ascii="宋体" w:hAnsi="宋体" w:eastAsia="宋体" w:cs="宋体"/>
                <w:sz w:val="24"/>
                <w:szCs w:val="24"/>
              </w:rPr>
            </w:pPr>
            <w:r>
              <w:rPr>
                <w:rFonts w:hint="eastAsia" w:ascii="宋体" w:hAnsi="宋体" w:eastAsia="宋体" w:cs="宋体"/>
                <w:sz w:val="24"/>
                <w:szCs w:val="24"/>
              </w:rPr>
              <w:t>线芯：24AWG优质导体</w:t>
            </w:r>
          </w:p>
          <w:p>
            <w:pPr>
              <w:keepNext w:val="0"/>
              <w:keepLines w:val="0"/>
              <w:widowControl/>
              <w:numPr>
                <w:ilvl w:val="0"/>
                <w:numId w:val="0"/>
              </w:numPr>
              <w:suppressLineNumbers w:val="0"/>
              <w:tabs>
                <w:tab w:val="center" w:pos="2329"/>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隔离：十字骨架</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水晶头</w:t>
            </w:r>
          </w:p>
        </w:tc>
        <w:tc>
          <w:tcPr>
            <w:tcW w:w="8100" w:type="dxa"/>
            <w:tcBorders>
              <w:top w:val="single" w:color="000000" w:sz="4" w:space="0"/>
              <w:left w:val="single" w:color="000000" w:sz="4" w:space="0"/>
              <w:bottom w:val="single" w:color="000000" w:sz="4" w:space="0"/>
              <w:right w:val="single" w:color="000000" w:sz="4" w:space="0"/>
            </w:tcBorders>
            <w:vAlign w:val="center"/>
          </w:tcPr>
          <w:p>
            <w:pPr>
              <w:bidi w:val="0"/>
              <w:rPr>
                <w:rFonts w:hint="eastAsia" w:ascii="宋体" w:hAnsi="宋体" w:eastAsia="宋体" w:cs="宋体"/>
                <w:sz w:val="24"/>
                <w:szCs w:val="24"/>
              </w:rPr>
            </w:pPr>
            <w:r>
              <w:rPr>
                <w:rFonts w:hint="eastAsia" w:ascii="宋体" w:hAnsi="宋体" w:eastAsia="宋体" w:cs="宋体"/>
                <w:sz w:val="24"/>
                <w:szCs w:val="24"/>
              </w:rPr>
              <w:t>材质：环保PC</w:t>
            </w:r>
          </w:p>
          <w:p>
            <w:pPr>
              <w:bidi w:val="0"/>
              <w:rPr>
                <w:rFonts w:hint="eastAsia" w:ascii="宋体" w:hAnsi="宋体" w:eastAsia="宋体" w:cs="宋体"/>
                <w:sz w:val="24"/>
                <w:szCs w:val="24"/>
              </w:rPr>
            </w:pPr>
            <w:r>
              <w:rPr>
                <w:rFonts w:hint="eastAsia" w:ascii="宋体" w:hAnsi="宋体" w:eastAsia="宋体" w:cs="宋体"/>
                <w:sz w:val="24"/>
                <w:szCs w:val="24"/>
              </w:rPr>
              <w:t>接触铜片：三叉芯片</w:t>
            </w:r>
          </w:p>
          <w:p>
            <w:pPr>
              <w:bidi w:val="0"/>
              <w:rPr>
                <w:rFonts w:hint="eastAsia" w:ascii="宋体" w:hAnsi="宋体" w:eastAsia="宋体" w:cs="宋体"/>
                <w:sz w:val="24"/>
                <w:szCs w:val="24"/>
              </w:rPr>
            </w:pPr>
            <w:r>
              <w:rPr>
                <w:rFonts w:hint="eastAsia" w:ascii="宋体" w:hAnsi="宋体" w:eastAsia="宋体" w:cs="宋体"/>
                <w:sz w:val="24"/>
                <w:szCs w:val="24"/>
              </w:rPr>
              <w:t>网络标准：千兆网络</w:t>
            </w:r>
          </w:p>
          <w:p>
            <w:pPr>
              <w:keepNext w:val="0"/>
              <w:keepLines w:val="0"/>
              <w:widowControl/>
              <w:numPr>
                <w:ilvl w:val="0"/>
                <w:numId w:val="0"/>
              </w:numPr>
              <w:suppressLineNumbers w:val="0"/>
              <w:tabs>
                <w:tab w:val="center" w:pos="2329"/>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接口类型：RJ45</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8100" w:type="dxa"/>
            <w:tcBorders>
              <w:top w:val="single" w:color="000000" w:sz="4" w:space="0"/>
              <w:left w:val="single" w:color="000000" w:sz="4" w:space="0"/>
              <w:bottom w:val="single" w:color="000000" w:sz="4" w:space="0"/>
              <w:right w:val="single" w:color="000000" w:sz="4" w:space="0"/>
            </w:tcBorders>
            <w:vAlign w:val="center"/>
          </w:tcPr>
          <w:p>
            <w:pPr>
              <w:bidi w:val="0"/>
              <w:rPr>
                <w:rFonts w:hint="eastAsia" w:ascii="宋体" w:hAnsi="宋体" w:eastAsia="宋体" w:cs="宋体"/>
                <w:sz w:val="24"/>
                <w:szCs w:val="24"/>
              </w:rPr>
            </w:pPr>
            <w:r>
              <w:rPr>
                <w:rFonts w:hint="eastAsia" w:ascii="宋体" w:hAnsi="宋体" w:eastAsia="宋体" w:cs="宋体"/>
                <w:sz w:val="24"/>
                <w:szCs w:val="24"/>
              </w:rPr>
              <w:t>规格：BV4mm²</w:t>
            </w:r>
          </w:p>
          <w:p>
            <w:pPr>
              <w:bidi w:val="0"/>
              <w:rPr>
                <w:rFonts w:hint="eastAsia" w:ascii="宋体" w:hAnsi="宋体" w:eastAsia="宋体" w:cs="宋体"/>
                <w:sz w:val="24"/>
                <w:szCs w:val="24"/>
              </w:rPr>
            </w:pPr>
            <w:r>
              <w:rPr>
                <w:rFonts w:hint="eastAsia" w:ascii="宋体" w:hAnsi="宋体" w:eastAsia="宋体" w:cs="宋体"/>
                <w:sz w:val="24"/>
                <w:szCs w:val="24"/>
              </w:rPr>
              <w:t>绝缘层：PVC 抗老化，耐腐蚀</w:t>
            </w:r>
          </w:p>
          <w:p>
            <w:pPr>
              <w:bidi w:val="0"/>
              <w:rPr>
                <w:rFonts w:hint="eastAsia" w:ascii="宋体" w:hAnsi="宋体" w:eastAsia="宋体" w:cs="宋体"/>
                <w:sz w:val="24"/>
                <w:szCs w:val="24"/>
              </w:rPr>
            </w:pPr>
            <w:r>
              <w:rPr>
                <w:rFonts w:hint="eastAsia" w:ascii="宋体" w:hAnsi="宋体" w:eastAsia="宋体" w:cs="宋体"/>
                <w:sz w:val="24"/>
                <w:szCs w:val="24"/>
              </w:rPr>
              <w:t>导体：无氧铜</w:t>
            </w:r>
          </w:p>
          <w:p>
            <w:pPr>
              <w:bidi w:val="0"/>
              <w:rPr>
                <w:rFonts w:hint="eastAsia" w:ascii="宋体" w:hAnsi="宋体" w:eastAsia="宋体" w:cs="宋体"/>
                <w:sz w:val="24"/>
                <w:szCs w:val="24"/>
              </w:rPr>
            </w:pPr>
            <w:r>
              <w:rPr>
                <w:rFonts w:hint="eastAsia" w:ascii="宋体" w:hAnsi="宋体" w:eastAsia="宋体" w:cs="宋体"/>
                <w:sz w:val="24"/>
                <w:szCs w:val="24"/>
              </w:rPr>
              <w:t>电压：≥450/750V</w:t>
            </w:r>
          </w:p>
          <w:p>
            <w:pPr>
              <w:keepNext w:val="0"/>
              <w:keepLines w:val="0"/>
              <w:widowControl/>
              <w:numPr>
                <w:ilvl w:val="0"/>
                <w:numId w:val="0"/>
              </w:numPr>
              <w:suppressLineNumbers w:val="0"/>
              <w:tabs>
                <w:tab w:val="center" w:pos="2329"/>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长度：≥100米</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盘</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电源线</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规格：YJV五芯, 5x6平方</w:t>
            </w:r>
            <w:r>
              <w:rPr>
                <w:rStyle w:val="80"/>
                <w:sz w:val="24"/>
                <w:szCs w:val="24"/>
                <w:lang w:val="en-US" w:eastAsia="zh-CN" w:bidi="ar"/>
              </w:rPr>
              <w:br w:type="textWrapping"/>
            </w:r>
            <w:r>
              <w:rPr>
                <w:rStyle w:val="80"/>
                <w:rFonts w:hint="eastAsia" w:ascii="宋体" w:hAnsi="宋体" w:eastAsia="宋体" w:cs="宋体"/>
                <w:sz w:val="24"/>
                <w:szCs w:val="24"/>
                <w:lang w:val="en-US" w:eastAsia="zh-CN" w:bidi="ar"/>
              </w:rPr>
              <w:t>长度：≥20米</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镀锌管1</w:t>
            </w:r>
          </w:p>
        </w:tc>
        <w:tc>
          <w:tcPr>
            <w:tcW w:w="8100" w:type="dxa"/>
            <w:tcBorders>
              <w:top w:val="single" w:color="000000" w:sz="4" w:space="0"/>
              <w:left w:val="single" w:color="000000" w:sz="4" w:space="0"/>
              <w:bottom w:val="single" w:color="000000" w:sz="4" w:space="0"/>
              <w:right w:val="single" w:color="000000" w:sz="4" w:space="0"/>
            </w:tcBorders>
            <w:vAlign w:val="center"/>
          </w:tcPr>
          <w:p>
            <w:pPr>
              <w:bidi w:val="0"/>
              <w:rPr>
                <w:rFonts w:hint="eastAsia" w:ascii="宋体" w:hAnsi="宋体" w:eastAsia="宋体" w:cs="宋体"/>
                <w:sz w:val="24"/>
                <w:szCs w:val="24"/>
              </w:rPr>
            </w:pPr>
            <w:r>
              <w:rPr>
                <w:rFonts w:hint="eastAsia" w:ascii="宋体" w:hAnsi="宋体" w:eastAsia="宋体" w:cs="宋体"/>
                <w:sz w:val="24"/>
                <w:szCs w:val="24"/>
              </w:rPr>
              <w:t>25镀锌管</w:t>
            </w:r>
          </w:p>
          <w:p>
            <w:pPr>
              <w:bidi w:val="0"/>
              <w:rPr>
                <w:rFonts w:hint="eastAsia" w:ascii="宋体" w:hAnsi="宋体" w:eastAsia="宋体" w:cs="宋体"/>
                <w:sz w:val="24"/>
                <w:szCs w:val="24"/>
              </w:rPr>
            </w:pPr>
            <w:r>
              <w:rPr>
                <w:rFonts w:hint="eastAsia" w:ascii="宋体" w:hAnsi="宋体" w:eastAsia="宋体" w:cs="宋体"/>
                <w:sz w:val="24"/>
                <w:szCs w:val="24"/>
              </w:rPr>
              <w:t>制造工艺：折弯、烧焊、打磨等工艺</w:t>
            </w:r>
          </w:p>
          <w:p>
            <w:pPr>
              <w:keepNext w:val="0"/>
              <w:keepLines w:val="0"/>
              <w:widowControl/>
              <w:numPr>
                <w:ilvl w:val="0"/>
                <w:numId w:val="0"/>
              </w:numPr>
              <w:suppressLineNumbers w:val="0"/>
              <w:tabs>
                <w:tab w:val="center" w:pos="2329"/>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光滑度高、厚度均匀、性能稳定。</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配电箱换线</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楼道配电箱至教室配电箱动力电线更换。配管、换线、过墙打孔等辅料、人工</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桥架</w:t>
            </w:r>
          </w:p>
        </w:tc>
        <w:tc>
          <w:tcPr>
            <w:tcW w:w="8100" w:type="dxa"/>
            <w:tcBorders>
              <w:top w:val="single" w:color="000000" w:sz="4" w:space="0"/>
              <w:left w:val="single" w:color="000000" w:sz="4" w:space="0"/>
              <w:bottom w:val="single" w:color="000000" w:sz="4" w:space="0"/>
              <w:right w:val="single" w:color="000000" w:sz="4" w:space="0"/>
            </w:tcBorders>
            <w:vAlign w:val="center"/>
          </w:tcPr>
          <w:p>
            <w:pPr>
              <w:bidi w:val="0"/>
              <w:rPr>
                <w:rFonts w:hint="eastAsia" w:ascii="宋体" w:hAnsi="宋体" w:eastAsia="宋体" w:cs="宋体"/>
                <w:sz w:val="24"/>
                <w:szCs w:val="24"/>
              </w:rPr>
            </w:pPr>
            <w:r>
              <w:rPr>
                <w:rFonts w:hint="eastAsia" w:ascii="宋体" w:hAnsi="宋体" w:eastAsia="宋体" w:cs="宋体"/>
                <w:sz w:val="24"/>
                <w:szCs w:val="24"/>
              </w:rPr>
              <w:t>产品材质：镀锌</w:t>
            </w:r>
          </w:p>
          <w:p>
            <w:pPr>
              <w:keepNext w:val="0"/>
              <w:keepLines w:val="0"/>
              <w:widowControl/>
              <w:numPr>
                <w:ilvl w:val="0"/>
                <w:numId w:val="0"/>
              </w:numPr>
              <w:suppressLineNumbers w:val="0"/>
              <w:tabs>
                <w:tab w:val="center" w:pos="2329"/>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尺寸：≥100*200mm</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镀锌管2</w:t>
            </w:r>
          </w:p>
        </w:tc>
        <w:tc>
          <w:tcPr>
            <w:tcW w:w="8100" w:type="dxa"/>
            <w:tcBorders>
              <w:top w:val="single" w:color="000000" w:sz="4" w:space="0"/>
              <w:left w:val="single" w:color="000000" w:sz="4" w:space="0"/>
              <w:bottom w:val="single" w:color="000000" w:sz="4" w:space="0"/>
              <w:right w:val="single" w:color="000000" w:sz="4" w:space="0"/>
            </w:tcBorders>
            <w:vAlign w:val="center"/>
          </w:tcPr>
          <w:p>
            <w:pPr>
              <w:bidi w:val="0"/>
              <w:rPr>
                <w:rFonts w:hint="eastAsia" w:ascii="宋体" w:hAnsi="宋体" w:eastAsia="宋体" w:cs="宋体"/>
                <w:sz w:val="24"/>
                <w:szCs w:val="24"/>
              </w:rPr>
            </w:pPr>
            <w:r>
              <w:rPr>
                <w:rFonts w:hint="eastAsia" w:ascii="宋体" w:hAnsi="宋体" w:eastAsia="宋体" w:cs="宋体"/>
                <w:sz w:val="24"/>
                <w:szCs w:val="24"/>
              </w:rPr>
              <w:t>25镀锌管</w:t>
            </w:r>
          </w:p>
          <w:p>
            <w:pPr>
              <w:bidi w:val="0"/>
              <w:rPr>
                <w:rFonts w:hint="eastAsia" w:ascii="宋体" w:hAnsi="宋体" w:eastAsia="宋体" w:cs="宋体"/>
                <w:sz w:val="24"/>
                <w:szCs w:val="24"/>
              </w:rPr>
            </w:pPr>
            <w:r>
              <w:rPr>
                <w:rFonts w:hint="eastAsia" w:ascii="宋体" w:hAnsi="宋体" w:eastAsia="宋体" w:cs="宋体"/>
                <w:sz w:val="24"/>
                <w:szCs w:val="24"/>
              </w:rPr>
              <w:t>制造工艺：折弯、烧焊、打磨等工艺</w:t>
            </w:r>
          </w:p>
          <w:p>
            <w:pPr>
              <w:keepNext w:val="0"/>
              <w:keepLines w:val="0"/>
              <w:widowControl/>
              <w:numPr>
                <w:ilvl w:val="0"/>
                <w:numId w:val="0"/>
              </w:numPr>
              <w:suppressLineNumbers w:val="0"/>
              <w:tabs>
                <w:tab w:val="center" w:pos="2329"/>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光滑度高、厚度均匀、性能稳定。</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插座含底盒</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center" w:pos="2329"/>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5孔10A含底盒</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插线板</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center" w:pos="2329"/>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6插位抗电涌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尺寸：≥250mm*98mm*39.6mm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最大电流：≥10A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额定电压：≥250V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功率：≥2500W</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地板安装</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防静电地板安装敷设</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辅料</w:t>
            </w:r>
          </w:p>
        </w:tc>
        <w:tc>
          <w:tcPr>
            <w:tcW w:w="81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含软管、打标纸、自攻钉、胶布、胀栓、接地端子、管卡子安装等</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机房综合布线</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含电源、网络桥架敷设、电源线、网线敷设，电源空开维护</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7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机房系统集成</w:t>
            </w:r>
          </w:p>
        </w:tc>
        <w:tc>
          <w:tcPr>
            <w:tcW w:w="81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tabs>
                <w:tab w:val="center" w:pos="2329"/>
              </w:tabs>
              <w:ind w:left="0" w:leftChars="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rPr>
              <w:t>含电脑安装调试、网络调试、机房配套软件调试</w:t>
            </w:r>
          </w:p>
        </w:tc>
        <w:tc>
          <w:tcPr>
            <w:tcW w:w="4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点</w:t>
            </w:r>
          </w:p>
        </w:tc>
        <w:tc>
          <w:tcPr>
            <w:tcW w:w="4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86</w:t>
            </w:r>
          </w:p>
        </w:tc>
      </w:tr>
    </w:tbl>
    <w:p>
      <w:pPr>
        <w:pStyle w:val="2"/>
        <w:ind w:left="-240" w:leftChars="-100" w:firstLine="0" w:firstLineChars="0"/>
        <w:rPr>
          <w:rFonts w:hint="eastAsia"/>
          <w:sz w:val="24"/>
          <w:szCs w:val="24"/>
          <w:lang w:val="en-US" w:eastAsia="zh-CN"/>
        </w:rPr>
      </w:pPr>
      <w:r>
        <w:rPr>
          <w:rFonts w:hint="eastAsia"/>
          <w:sz w:val="24"/>
          <w:szCs w:val="24"/>
          <w:lang w:val="en-US" w:eastAsia="zh-CN"/>
        </w:rPr>
        <w:t>第六包：九中分校计算机教室</w:t>
      </w:r>
    </w:p>
    <w:tbl>
      <w:tblPr>
        <w:tblStyle w:val="31"/>
        <w:tblW w:w="10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4"/>
        <w:gridCol w:w="775"/>
        <w:gridCol w:w="7865"/>
        <w:gridCol w:w="495"/>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4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设备名称</w:t>
            </w:r>
          </w:p>
        </w:tc>
        <w:tc>
          <w:tcPr>
            <w:tcW w:w="786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主要规格参数、主要功能</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触控一体机</w:t>
            </w:r>
          </w:p>
        </w:tc>
        <w:tc>
          <w:tcPr>
            <w:tcW w:w="7865" w:type="dxa"/>
            <w:shd w:val="clear" w:color="auto" w:fill="auto"/>
            <w:vAlign w:val="top"/>
          </w:tcPr>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一、整机硬件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整机显示尺寸≧86英寸，分辨率≥3840*2160，采用红外触控技术，在双系统下均支持≥40点同时触控；</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整机表面钢化玻璃厚度≤3.2mm，硬度可达莫氏7级；</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#整机前置标配HDMI输入≥1路, USB≥2路，Type-C≥1路，具有中文标识,后置标配VGA输入≥1路，HDMI输入≥2路，HDMI输出≥1路（提供截图，照片等证明文件并加盖投标人公章）；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整机具有通屏笔槽结构，可放置书写笔、粉笔、水性笔等。</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#整机前置中文按键≥7个，可实现音量加减、窗口关闭、触控开关等功能，且按键均具备两种及以上明确的功能,具备前置针孔式电脑还原按键，并配有中文标识（提供截图，照片等证明文件并加盖投标人公章）；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整机内置Wi-Fi6无线网卡，内置AP无线热点发射，内置蓝牙Bluetooth 5.4模块，支持连接外部蓝牙音箱播放音频；</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#无需打开整机背板，前置接口面板和前置按键面板支持单独前拆（提供第三方机构出具的相关检测报告复印件，并加盖投标人公章）；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前置U盘接口需采用隐藏式设计，具有翻转式防护盖板，盖板高度≥4cm，盖板开合角度≥100°；</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整机扬声器功率≥60W；</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#整机具备≥12核芯片驱动， Android 系统版本≥14.0，内存≥8G，存储≥64G（提供截图，照片等证明文件并加盖投标人公章）；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#内置高清5K摄像头，有效像素≥1900W，可输出最大分辨率5104*3864（提供第三方机构出具的相关检测报告复印件，并加盖投标人公章）；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整机采用OPS-C 标准的80pin针口设计；</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二、教学软件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提供符合教师授课场景的教学桌面教学系统,可将教师授课常用应用放至主页，单击即可打开应用，方便教师快捷调用软件；</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#应用页面采用分类模块显示，至少包含课件制作、教学工具、管理辅助、数字资源等，方便教师快速找到相应应用（提供截图，照片等证明文件并加盖投标人公章）；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#教学软件支持多种登录方式，包含不局限于U盘登录、账号密码直接登录、微信扫码登录、手机验证码快捷登录、书写登录等，支持免登录打开本地课件（提供截图，照片等证明文件并加盖厂家公章）；</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软件提供个人云盘存储功能，注册即可免费获取不少于50GB云端存储空间；</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提供预置的课件素材，允许老师在网页端、移动端、电脑端进行内容的选择与组合，快速生成课件并浏览，所有制作的课件均实时保存至云端，老师只需登录即可查看；</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提供模块化的课件素材和教案，学科涵盖小学语文、初中语文、小学数学、初中数学、高中数学、小学英语、初中英语、小学科学、初中物理、初中化学等学科;</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提供语文生字卡片、英语生词卡片、化学工具编辑器、数学工具编辑器、物理仿真实验、英文手写识别等学课工具；</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双侧快捷键授课状态下具备多个教学辅助工具，包含截图、时钟、放大镜、聚光灯、黑屏、随机数、骰子和大转盘8种；</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软件在授课模式状态下支持多种笔形，颜色选择，笔形不少于9种，颜色不少于5种；</w:t>
            </w:r>
          </w:p>
          <w:p>
            <w:pPr>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支持免登录打开离线课件，直接进入课件全屏播放状态；登录后，可返回备课编辑状态；</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内置黑板贴功能，可实现屏幕截图，实时语文、数学、外语、值日、通知等学科分类任务预留，截图操作灵活方便，支持手势拖拽边框缩放大小，可选择区域显示范围（提供截图，照片等证明文件并加盖投标人公章）；</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推拉绿板</w:t>
            </w:r>
          </w:p>
        </w:tc>
        <w:tc>
          <w:tcPr>
            <w:tcW w:w="7865"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kern w:val="0"/>
                <w:sz w:val="24"/>
                <w:szCs w:val="24"/>
                <w14:ligatures w14:val="none"/>
              </w:rPr>
              <w:t>1、 结构：双层结构，内层为固定书写板，外层为滑动书写板，支持电子产品居中或一侧放置。</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w:t>
            </w:r>
            <w:r>
              <w:rPr>
                <w:rFonts w:hint="eastAsia" w:asciiTheme="minorEastAsia" w:hAnsiTheme="minorEastAsia" w:eastAsiaTheme="minorEastAsia" w:cstheme="minorEastAsia"/>
                <w:sz w:val="24"/>
                <w:szCs w:val="24"/>
              </w:rPr>
              <w:t>参考规格≥：1300mm*4000mm</w:t>
            </w:r>
            <w:r>
              <w:rPr>
                <w:rFonts w:hint="eastAsia" w:asciiTheme="minorEastAsia" w:hAnsiTheme="minorEastAsia" w:eastAsiaTheme="minorEastAsia" w:cstheme="minorEastAsia"/>
                <w:kern w:val="0"/>
                <w:sz w:val="24"/>
                <w:szCs w:val="24"/>
                <w14:ligatures w14:val="none"/>
              </w:rPr>
              <w:t>，高度可根据所配电子产品适当调整，确保与电子产品有效配套。</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 板面：采用金属搪瓷书写板面，亚光、墨绿色，没有因黑板本身原因产生的眩光，书写流畅字迹清晰、色彩协调可视效果佳，有效的缓解学生视觉疲劳。可吸附磁钉、磁片，便于教学。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 背板：采用优质镀锌钢板，机械化流水线一次成型。</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 覆板：采用自动化流水线覆板作业，避免人工作业刷胶不均导致粘贴不牢、起鼓等现象。甲醛释放量≤0.2mg/L，符合GB 28231-2011《书写板安全卫生要求》。</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边框：采用高强度香槟色电泳铝合金型材，横框规格≥57mm×78mm，立框规格≥29mm×100mm。轨道上置隐藏式滑动系统，杜绝灰尘及杂物进入，结构性解决滑动受灰尘影响的问题。边框应具有良好的耐磨性及耐腐蚀性，耐腐蚀性CASS 72H不得低于10级。</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粉尘槽：应配有宽度≥30mm的粉尘槽，粉尘槽应与滑动系统分离，不影响滑动板滑动。可放置书写笔、教鞭等教具，也可用于灰尘集中处理；粉尘槽采用U型结构以便于承载粉笔末等，应避免使用L型等开放式结构。粉尘槽应与边框一体式设计，以增加强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包角：采用抗老化高强度ABS工程塑料注塑成型，采用双壁成腔流线型设计，教学书写板品牌标识与包角一次模具成型，无尖角毛刺。当搭配电子产品为液晶屏时，包角应做可部分掰除设计，以更好的适配液晶屏厚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9、限位档：横框内部两侧安装限位档，避免滑动板推拉过程中撞击立框及夹手，禁止安装于立框。</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10、滑轮：双组高精度轴承上吊轮，下平滑动系统，上下均匀安装，上部滑轮应采用包胶轮以减少噪音，下部设有滑块，滑块应做前后方向弹性设计以降低教学书写板书写颤动。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11、安全性：滑动板配装锁具，当不使用电子产品时，应可对教学书写板进行锁闭，避免课间学生误操作并保护设备。一把锁实现对滑动教学书写板的锁定，钥匙通用，方便实用。</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534"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7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吸顶展台</w:t>
            </w:r>
          </w:p>
        </w:tc>
        <w:tc>
          <w:tcPr>
            <w:tcW w:w="7865" w:type="dxa"/>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1.成像设备: 1/2.8英寸高品质CMOS传感器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2.总像素:500万最大分辨率≥1920x1080，输出帧率≥60帧/秒</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3.视频输出:1080p60/50,1080i60/50,1080p30/25,720p60/50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4.输出接口: 支持HDMI，SDI，USB、有线LAN、无线LAN接口（5GWiFi模块可选）；SDI支持在1080P60格式下传输100米。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5.变焦:20倍光学变焦，10倍数码变焦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6.镜头转动</w:t>
            </w:r>
            <w:r>
              <w:rPr>
                <w:rFonts w:hint="eastAsia" w:asciiTheme="minorEastAsia" w:hAnsiTheme="minorEastAsia" w:cstheme="minorEastAsia"/>
                <w:i w:val="0"/>
                <w:iCs w:val="0"/>
                <w:color w:val="000000"/>
                <w:kern w:val="0"/>
                <w:sz w:val="24"/>
                <w:szCs w:val="24"/>
                <w:u w:val="none"/>
                <w:lang w:val="en-US" w:eastAsia="zh-CN" w:bidi="ar"/>
              </w:rPr>
              <w:t>范围</w:t>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:水平-170°～+170°俯仰-30°～+90°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7.聚焦: 自动/手动/一键聚焦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8.遥控器:中文遥控器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9.背光补偿:遥控器一键切换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 xml:space="preserve">10.调焦模式:手动/自动遥控器切换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11.图像亮度:遥控器可调</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12.电子翻转:有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13.拍摄范围:A1画面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14.控制协议: VISCA/Pelco-D/Pelco-P；波特率：115200/9600/4800/2400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15.输入端子:VISCA*1RS422*1 RS485*1RS232*120.输出端子:HDMl*1US82.0*1</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16.功耗:最大30W(DC12V时)22.操作温度:0~40℃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17.环境温度:-10-60℃</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18.随机配件:AC电源适配器，R逐控器，操作说明书</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19.需提供厂家售后服务承诺函原件（加盖厂家公章）。</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4</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多媒体音箱</w:t>
            </w:r>
          </w:p>
        </w:tc>
        <w:tc>
          <w:tcPr>
            <w:tcW w:w="7865"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1.音箱系统 2.0声道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2.有源音箱</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3.调节方式：调节形式后旋钮调节，遥控器调节</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4.额定功率≥120W；≥24W×2（高音）+≥36W×2（低音）</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5.频率响应≥55Hz-20KHz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6.扬声器单元≥5.25英寸+直径25mm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7.信噪比≥85dB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8.分离度≥45dB</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5</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多媒体桌</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1、外型尺寸：1100*780*1000</w:t>
            </w:r>
            <w:r>
              <w:rPr>
                <w:rFonts w:hint="eastAsia" w:asciiTheme="minorEastAsia" w:hAnsiTheme="minorEastAsia" w:cstheme="minorEastAsia"/>
                <w:i w:val="0"/>
                <w:iCs w:val="0"/>
                <w:color w:val="000000"/>
                <w:kern w:val="0"/>
                <w:sz w:val="24"/>
                <w:szCs w:val="24"/>
                <w:u w:val="none"/>
                <w:lang w:val="en-US" w:eastAsia="zh-CN" w:bidi="ar"/>
              </w:rPr>
              <w:t>mm</w:t>
            </w:r>
            <w:r>
              <w:rPr>
                <w:rFonts w:hint="eastAsia" w:asciiTheme="minorEastAsia" w:hAnsiTheme="minorEastAsia" w:eastAsiaTheme="minorEastAsia" w:cstheme="minorEastAsia"/>
                <w:i w:val="0"/>
                <w:iCs w:val="0"/>
                <w:color w:val="000000"/>
                <w:kern w:val="0"/>
                <w:sz w:val="24"/>
                <w:szCs w:val="24"/>
                <w:u w:val="none"/>
                <w:lang w:val="en-US" w:eastAsia="zh-CN" w:bidi="ar"/>
              </w:rPr>
              <w:t>；上体部分1100*780*350mm（长*宽*高）；下体部分800*650*650mm（长*宽*高）。讲台选用冷轧钢板1.0-1.5mm，数控设备精加工制作。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2、讲台桌面采用木质材料，防静电处理。</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3、讲桌桌体采用双开式柜门设计。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4、显示器采用翻转式设计，翻转角度为0-130度，键盘采用翻转式设计，其中采用不锈钢十字铰链，实物展台采用抽拉式设计，隐藏放置于讲桌内。</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5、支持中控，主机，DVD，功放音箱，实物展台等安装。</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6</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多媒体线材及辅料</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含高清线、音频线、电源线、网线、线槽及其他安装配件辅料等</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7</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多媒体集成</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含多媒体设备布线、安装，大屏、黑板安装调试等</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8</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台式计算机（核心产品）</w:t>
            </w:r>
          </w:p>
        </w:tc>
        <w:tc>
          <w:tcPr>
            <w:tcW w:w="7865" w:type="dxa"/>
            <w:shd w:val="clear" w:color="auto" w:fill="FFFFFF"/>
            <w:vAlign w:val="center"/>
          </w:tcPr>
          <w:p>
            <w:pPr>
              <w:numPr>
                <w:ilvl w:val="0"/>
                <w:numId w:val="0"/>
              </w:numPr>
              <w:rPr>
                <w:rFonts w:hint="eastAsia"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eastAsiaTheme="minorEastAsia" w:cstheme="minorEastAsia"/>
                <w:kern w:val="0"/>
                <w:sz w:val="24"/>
                <w:szCs w:val="24"/>
                <w:lang w:val="en-US" w:eastAsia="zh-CN"/>
                <w14:ligatures w14:val="none"/>
              </w:rPr>
              <w:t>国产电脑</w:t>
            </w:r>
          </w:p>
          <w:p>
            <w:pPr>
              <w:numPr>
                <w:ilvl w:val="0"/>
                <w:numId w:val="0"/>
              </w:numPr>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lang w:val="en-US" w:eastAsia="zh-CN"/>
                <w14:ligatures w14:val="none"/>
              </w:rPr>
              <w:t>1、</w:t>
            </w:r>
            <w:r>
              <w:rPr>
                <w:rFonts w:hint="eastAsia" w:asciiTheme="minorEastAsia" w:hAnsiTheme="minorEastAsia" w:eastAsiaTheme="minorEastAsia" w:cstheme="minorEastAsia"/>
                <w:kern w:val="0"/>
                <w:sz w:val="24"/>
                <w:szCs w:val="24"/>
                <w14:ligatures w14:val="none"/>
              </w:rPr>
              <w:t>基本要求 国产自主品牌。</w:t>
            </w:r>
          </w:p>
          <w:p>
            <w:pPr>
              <w:numPr>
                <w:ilvl w:val="0"/>
                <w:numId w:val="0"/>
              </w:numPr>
              <w:ind w:leftChars="0"/>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lang w:val="en-US" w:eastAsia="zh-CN"/>
                <w14:ligatures w14:val="none"/>
              </w:rPr>
              <w:t>2、</w:t>
            </w:r>
            <w:r>
              <w:rPr>
                <w:rFonts w:hint="eastAsia" w:asciiTheme="minorEastAsia" w:hAnsiTheme="minorEastAsia" w:eastAsiaTheme="minorEastAsia" w:cstheme="minorEastAsia"/>
                <w:kern w:val="0"/>
                <w:sz w:val="24"/>
                <w:szCs w:val="24"/>
                <w14:ligatures w14:val="none"/>
              </w:rPr>
              <w:t>处理器 兼容</w:t>
            </w:r>
            <w:r>
              <w:rPr>
                <w:rFonts w:hint="eastAsia" w:asciiTheme="minorEastAsia" w:hAnsiTheme="minorEastAsia" w:eastAsiaTheme="minorEastAsia" w:cstheme="minorEastAsia"/>
                <w:kern w:val="0"/>
                <w:sz w:val="24"/>
                <w:szCs w:val="24"/>
                <w:lang w:val="en-US" w:eastAsia="zh-CN"/>
                <w14:ligatures w14:val="none"/>
              </w:rPr>
              <w:t>X</w:t>
            </w:r>
            <w:r>
              <w:rPr>
                <w:rFonts w:hint="eastAsia" w:asciiTheme="minorEastAsia" w:hAnsiTheme="minorEastAsia" w:eastAsiaTheme="minorEastAsia" w:cstheme="minorEastAsia"/>
                <w:kern w:val="0"/>
                <w:sz w:val="24"/>
                <w:szCs w:val="24"/>
                <w14:ligatures w14:val="none"/>
              </w:rPr>
              <w:t>86 指令集</w:t>
            </w:r>
            <w:r>
              <w:rPr>
                <w:rFonts w:hint="eastAsia" w:asciiTheme="minorEastAsia" w:hAnsiTheme="minorEastAsia" w:cstheme="minorEastAsia"/>
                <w:kern w:val="0"/>
                <w:sz w:val="24"/>
                <w:szCs w:val="24"/>
                <w:lang w:eastAsia="zh-CN"/>
                <w14:ligatures w14:val="none"/>
              </w:rPr>
              <w:t>，</w:t>
            </w:r>
            <w:r>
              <w:rPr>
                <w:rFonts w:hint="eastAsia" w:asciiTheme="minorEastAsia" w:hAnsiTheme="minorEastAsia" w:eastAsiaTheme="minorEastAsia" w:cstheme="minorEastAsia"/>
                <w:kern w:val="0"/>
                <w:sz w:val="24"/>
                <w:szCs w:val="24"/>
                <w14:ligatures w14:val="none"/>
              </w:rPr>
              <w:t>国产CPU，物理核心数≥8核，内核主频（非睿频）≥2.7GHz；</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cstheme="minorEastAsia"/>
                <w:kern w:val="0"/>
                <w:sz w:val="24"/>
                <w:szCs w:val="24"/>
                <w:lang w:val="en-US" w:eastAsia="zh-CN"/>
                <w14:ligatures w14:val="none"/>
              </w:rPr>
              <w:t>3</w:t>
            </w:r>
            <w:r>
              <w:rPr>
                <w:rFonts w:hint="eastAsia" w:asciiTheme="minorEastAsia" w:hAnsiTheme="minorEastAsia" w:eastAsiaTheme="minorEastAsia" w:cstheme="minorEastAsia"/>
                <w:kern w:val="0"/>
                <w:sz w:val="24"/>
                <w:szCs w:val="24"/>
                <w14:ligatures w14:val="none"/>
              </w:rPr>
              <w:t>、内存 ≥16GB DDR4 UDIMM内存，配置≥2个内存插槽；</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cstheme="minorEastAsia"/>
                <w:kern w:val="0"/>
                <w:sz w:val="24"/>
                <w:szCs w:val="24"/>
                <w:lang w:val="en-US" w:eastAsia="zh-CN"/>
                <w14:ligatures w14:val="none"/>
              </w:rPr>
              <w:t>4</w:t>
            </w:r>
            <w:r>
              <w:rPr>
                <w:rFonts w:hint="eastAsia" w:asciiTheme="minorEastAsia" w:hAnsiTheme="minorEastAsia" w:eastAsiaTheme="minorEastAsia" w:cstheme="minorEastAsia"/>
                <w:kern w:val="0"/>
                <w:sz w:val="24"/>
                <w:szCs w:val="24"/>
                <w14:ligatures w14:val="none"/>
              </w:rPr>
              <w:t>、显卡 ≥2G独立显卡，另支持集成显卡，支持VGA+HDMI视频输出显示，默认独显输出；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cstheme="minorEastAsia"/>
                <w:kern w:val="0"/>
                <w:sz w:val="24"/>
                <w:szCs w:val="24"/>
                <w:lang w:val="en-US" w:eastAsia="zh-CN"/>
                <w14:ligatures w14:val="none"/>
              </w:rPr>
              <w:t>5</w:t>
            </w:r>
            <w:r>
              <w:rPr>
                <w:rFonts w:hint="eastAsia" w:asciiTheme="minorEastAsia" w:hAnsiTheme="minorEastAsia" w:eastAsiaTheme="minorEastAsia" w:cstheme="minorEastAsia"/>
                <w:kern w:val="0"/>
                <w:sz w:val="24"/>
                <w:szCs w:val="24"/>
                <w14:ligatures w14:val="none"/>
              </w:rPr>
              <w:t>、硬盘 ≥</w:t>
            </w:r>
            <w:r>
              <w:rPr>
                <w:rFonts w:hint="eastAsia" w:asciiTheme="minorEastAsia" w:hAnsiTheme="minorEastAsia" w:eastAsiaTheme="minorEastAsia" w:cstheme="minorEastAsia"/>
                <w:kern w:val="0"/>
                <w:sz w:val="24"/>
                <w:szCs w:val="24"/>
                <w:lang w:val="en-US" w:eastAsia="zh-CN"/>
                <w14:ligatures w14:val="none"/>
              </w:rPr>
              <w:t>256</w:t>
            </w:r>
            <w:r>
              <w:rPr>
                <w:rFonts w:hint="eastAsia" w:asciiTheme="minorEastAsia" w:hAnsiTheme="minorEastAsia" w:eastAsiaTheme="minorEastAsia" w:cstheme="minorEastAsia"/>
                <w:kern w:val="0"/>
                <w:sz w:val="24"/>
                <w:szCs w:val="24"/>
                <w14:ligatures w14:val="none"/>
              </w:rPr>
              <w:t xml:space="preserve"> GB M.2接口NVME协议SSD，配置1块3.5寸1T机械硬盘，≥5400 RPM；</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cstheme="minorEastAsia"/>
                <w:kern w:val="0"/>
                <w:sz w:val="24"/>
                <w:szCs w:val="24"/>
                <w:lang w:val="en-US" w:eastAsia="zh-CN"/>
                <w14:ligatures w14:val="none"/>
              </w:rPr>
              <w:t>6</w:t>
            </w:r>
            <w:r>
              <w:rPr>
                <w:rFonts w:hint="eastAsia" w:asciiTheme="minorEastAsia" w:hAnsiTheme="minorEastAsia" w:eastAsiaTheme="minorEastAsia" w:cstheme="minorEastAsia"/>
                <w:kern w:val="0"/>
                <w:sz w:val="24"/>
                <w:szCs w:val="24"/>
                <w14:ligatures w14:val="none"/>
              </w:rPr>
              <w:t>、网络 1个RJ45 10/100/1000自适应以太网口；</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cstheme="minorEastAsia"/>
                <w:kern w:val="0"/>
                <w:sz w:val="24"/>
                <w:szCs w:val="24"/>
                <w:lang w:val="en-US" w:eastAsia="zh-CN"/>
                <w14:ligatures w14:val="none"/>
              </w:rPr>
              <w:t>7</w:t>
            </w:r>
            <w:r>
              <w:rPr>
                <w:rFonts w:hint="eastAsia" w:asciiTheme="minorEastAsia" w:hAnsiTheme="minorEastAsia" w:eastAsiaTheme="minorEastAsia" w:cstheme="minorEastAsia"/>
                <w:kern w:val="0"/>
                <w:sz w:val="24"/>
                <w:szCs w:val="24"/>
                <w14:ligatures w14:val="none"/>
              </w:rPr>
              <w:t>、接口扩展  配置≥8个USB 接口，其中前置USB3.0</w:t>
            </w:r>
            <w:r>
              <w:rPr>
                <w:rFonts w:hint="eastAsia" w:asciiTheme="minorEastAsia" w:hAnsiTheme="minorEastAsia" w:eastAsiaTheme="minorEastAsia" w:cstheme="minorEastAsia"/>
                <w:kern w:val="0"/>
                <w:sz w:val="24"/>
                <w:szCs w:val="24"/>
                <w:lang w:eastAsia="zh-CN"/>
                <w14:ligatures w14:val="none"/>
              </w:rPr>
              <w:t>及以上接口不少于</w:t>
            </w:r>
            <w:r>
              <w:rPr>
                <w:rFonts w:hint="eastAsia" w:asciiTheme="minorEastAsia" w:hAnsiTheme="minorEastAsia" w:eastAsiaTheme="minorEastAsia" w:cstheme="minorEastAsia"/>
                <w:kern w:val="0"/>
                <w:sz w:val="24"/>
                <w:szCs w:val="24"/>
                <w:lang w:val="en-US" w:eastAsia="zh-CN"/>
                <w14:ligatures w14:val="none"/>
              </w:rPr>
              <w:t>4个</w:t>
            </w:r>
            <w:r>
              <w:rPr>
                <w:rFonts w:hint="eastAsia" w:asciiTheme="minorEastAsia" w:hAnsiTheme="minorEastAsia" w:eastAsiaTheme="minorEastAsia" w:cstheme="minorEastAsia"/>
                <w:kern w:val="0"/>
                <w:sz w:val="24"/>
                <w:szCs w:val="24"/>
                <w14:ligatures w14:val="none"/>
              </w:rPr>
              <w:t>；1个RJ45网口，1个HDMI接口，1个VGA接口，前置1组音频接口，后置1组音频接口；</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cstheme="minorEastAsia"/>
                <w:kern w:val="0"/>
                <w:sz w:val="24"/>
                <w:szCs w:val="24"/>
                <w:lang w:val="en-US" w:eastAsia="zh-CN"/>
                <w14:ligatures w14:val="none"/>
              </w:rPr>
              <w:t>8</w:t>
            </w:r>
            <w:r>
              <w:rPr>
                <w:rFonts w:hint="eastAsia" w:asciiTheme="minorEastAsia" w:hAnsiTheme="minorEastAsia" w:eastAsiaTheme="minorEastAsia" w:cstheme="minorEastAsia"/>
                <w:kern w:val="0"/>
                <w:sz w:val="24"/>
                <w:szCs w:val="24"/>
                <w14:ligatures w14:val="none"/>
              </w:rPr>
              <w:t xml:space="preserve">、易用性 </w:t>
            </w:r>
            <w:r>
              <w:rPr>
                <w:rFonts w:hint="eastAsia" w:asciiTheme="minorEastAsia" w:hAnsiTheme="minorEastAsia" w:cstheme="minorEastAsia"/>
                <w:kern w:val="0"/>
                <w:sz w:val="24"/>
                <w:szCs w:val="24"/>
                <w:lang w:val="en-US" w:eastAsia="zh-CN"/>
                <w14:ligatures w14:val="none"/>
              </w:rPr>
              <w:t>方便</w:t>
            </w:r>
            <w:r>
              <w:rPr>
                <w:rFonts w:hint="eastAsia" w:asciiTheme="minorEastAsia" w:hAnsiTheme="minorEastAsia" w:eastAsiaTheme="minorEastAsia" w:cstheme="minorEastAsia"/>
                <w:kern w:val="0"/>
                <w:sz w:val="24"/>
                <w:szCs w:val="24"/>
                <w14:ligatures w14:val="none"/>
              </w:rPr>
              <w:t>拆卸机箱；</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cstheme="minorEastAsia"/>
                <w:kern w:val="0"/>
                <w:sz w:val="24"/>
                <w:szCs w:val="24"/>
                <w:lang w:val="en-US" w:eastAsia="zh-CN"/>
                <w14:ligatures w14:val="none"/>
              </w:rPr>
              <w:t>9</w:t>
            </w:r>
            <w:r>
              <w:rPr>
                <w:rFonts w:hint="eastAsia" w:asciiTheme="minorEastAsia" w:hAnsiTheme="minorEastAsia" w:eastAsiaTheme="minorEastAsia" w:cstheme="minorEastAsia"/>
                <w:kern w:val="0"/>
                <w:sz w:val="24"/>
                <w:szCs w:val="24"/>
                <w14:ligatures w14:val="none"/>
              </w:rPr>
              <w:t>、数据安全 支持出厂备份还原、全盘备份还原和分区备份还原等功能</w:t>
            </w:r>
            <w:r>
              <w:rPr>
                <w:rFonts w:hint="eastAsia" w:asciiTheme="minorEastAsia" w:hAnsiTheme="minorEastAsia" w:eastAsiaTheme="minorEastAsia" w:cstheme="minorEastAsia"/>
                <w:kern w:val="0"/>
                <w:sz w:val="24"/>
                <w:szCs w:val="24"/>
                <w:lang w:eastAsia="zh-CN"/>
                <w14:ligatures w14:val="none"/>
              </w:rPr>
              <w:t>；</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lang w:val="en-US" w:eastAsia="zh-CN"/>
                <w14:ligatures w14:val="none"/>
              </w:rPr>
              <w:t>1</w:t>
            </w:r>
            <w:r>
              <w:rPr>
                <w:rFonts w:hint="eastAsia" w:asciiTheme="minorEastAsia" w:hAnsiTheme="minorEastAsia" w:cstheme="minorEastAsia"/>
                <w:kern w:val="0"/>
                <w:sz w:val="24"/>
                <w:szCs w:val="24"/>
                <w:lang w:val="en-US" w:eastAsia="zh-CN"/>
                <w14:ligatures w14:val="none"/>
              </w:rPr>
              <w:t>0</w:t>
            </w:r>
            <w:r>
              <w:rPr>
                <w:rFonts w:hint="eastAsia" w:asciiTheme="minorEastAsia" w:hAnsiTheme="minorEastAsia" w:eastAsiaTheme="minorEastAsia" w:cstheme="minorEastAsia"/>
                <w:kern w:val="0"/>
                <w:sz w:val="24"/>
                <w:szCs w:val="24"/>
                <w14:ligatures w14:val="none"/>
              </w:rPr>
              <w:t>、质控水平 MTBF≥30000</w:t>
            </w:r>
            <w:r>
              <w:rPr>
                <w:rFonts w:hint="eastAsia" w:asciiTheme="minorEastAsia" w:hAnsiTheme="minorEastAsia" w:eastAsiaTheme="minorEastAsia" w:cstheme="minorEastAsia"/>
                <w:kern w:val="0"/>
                <w:sz w:val="24"/>
                <w:szCs w:val="24"/>
                <w:lang w:val="en-US" w:eastAsia="zh-CN"/>
                <w14:ligatures w14:val="none"/>
              </w:rPr>
              <w:t>0</w:t>
            </w:r>
            <w:r>
              <w:rPr>
                <w:rFonts w:hint="eastAsia" w:asciiTheme="minorEastAsia" w:hAnsiTheme="minorEastAsia" w:eastAsiaTheme="minorEastAsia" w:cstheme="minorEastAsia"/>
                <w:kern w:val="0"/>
                <w:sz w:val="24"/>
                <w:szCs w:val="24"/>
                <w14:ligatures w14:val="none"/>
              </w:rPr>
              <w:t>小时；</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w:t>
            </w:r>
            <w:r>
              <w:rPr>
                <w:rFonts w:hint="eastAsia" w:asciiTheme="minorEastAsia" w:hAnsiTheme="minorEastAsia" w:cstheme="minorEastAsia"/>
                <w:kern w:val="0"/>
                <w:sz w:val="24"/>
                <w:szCs w:val="24"/>
                <w:lang w:val="en-US" w:eastAsia="zh-CN"/>
                <w14:ligatures w14:val="none"/>
              </w:rPr>
              <w:t>1</w:t>
            </w:r>
            <w:r>
              <w:rPr>
                <w:rFonts w:hint="eastAsia" w:asciiTheme="minorEastAsia" w:hAnsiTheme="minorEastAsia" w:eastAsiaTheme="minorEastAsia" w:cstheme="minorEastAsia"/>
                <w:kern w:val="0"/>
                <w:sz w:val="24"/>
                <w:szCs w:val="24"/>
                <w14:ligatures w14:val="none"/>
              </w:rPr>
              <w:t>、显示器 支持壁挂，≥23.8寸，分辨率1920*1080，≥1个HDMI</w:t>
            </w:r>
            <w:r>
              <w:rPr>
                <w:rFonts w:hint="eastAsia" w:asciiTheme="minorEastAsia" w:hAnsiTheme="minorEastAsia" w:eastAsiaTheme="minorEastAsia" w:cstheme="minorEastAsia"/>
                <w:kern w:val="0"/>
                <w:sz w:val="24"/>
                <w:szCs w:val="24"/>
                <w:lang w:eastAsia="zh-CN"/>
                <w14:ligatures w14:val="none"/>
              </w:rPr>
              <w:t>及一其他接口</w:t>
            </w:r>
            <w:r>
              <w:rPr>
                <w:rFonts w:hint="eastAsia" w:asciiTheme="minorEastAsia" w:hAnsiTheme="minorEastAsia" w:eastAsiaTheme="minorEastAsia" w:cstheme="minorEastAsia"/>
                <w:kern w:val="0"/>
                <w:sz w:val="24"/>
                <w:szCs w:val="24"/>
                <w14:ligatures w14:val="none"/>
              </w:rPr>
              <w:t>，且接口在下方，刷新率≥60HZ，支持低蓝光；</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w:t>
            </w:r>
            <w:r>
              <w:rPr>
                <w:rFonts w:hint="eastAsia" w:asciiTheme="minorEastAsia" w:hAnsiTheme="minorEastAsia" w:cstheme="minorEastAsia"/>
                <w:kern w:val="0"/>
                <w:sz w:val="24"/>
                <w:szCs w:val="24"/>
                <w:lang w:val="en-US" w:eastAsia="zh-CN"/>
                <w14:ligatures w14:val="none"/>
              </w:rPr>
              <w:t>2</w:t>
            </w:r>
            <w:r>
              <w:rPr>
                <w:rFonts w:hint="eastAsia" w:asciiTheme="minorEastAsia" w:hAnsiTheme="minorEastAsia" w:eastAsiaTheme="minorEastAsia" w:cstheme="minorEastAsia"/>
                <w:kern w:val="0"/>
                <w:sz w:val="24"/>
                <w:szCs w:val="24"/>
                <w14:ligatures w14:val="none"/>
              </w:rPr>
              <w:t>、键鼠 配置一套</w:t>
            </w:r>
            <w:r>
              <w:rPr>
                <w:rFonts w:hint="eastAsia" w:asciiTheme="minorEastAsia" w:hAnsiTheme="minorEastAsia" w:eastAsiaTheme="minorEastAsia" w:cstheme="minorEastAsia"/>
                <w:kern w:val="0"/>
                <w:sz w:val="24"/>
                <w:szCs w:val="24"/>
                <w:lang w:eastAsia="zh-CN"/>
                <w14:ligatures w14:val="none"/>
              </w:rPr>
              <w:t>原厂</w:t>
            </w:r>
            <w:r>
              <w:rPr>
                <w:rFonts w:hint="eastAsia" w:asciiTheme="minorEastAsia" w:hAnsiTheme="minorEastAsia" w:eastAsiaTheme="minorEastAsia" w:cstheme="minorEastAsia"/>
                <w:kern w:val="0"/>
                <w:sz w:val="24"/>
                <w:szCs w:val="24"/>
                <w14:ligatures w14:val="none"/>
              </w:rPr>
              <w:t>有线USB接口的键盘鼠标；</w:t>
            </w:r>
          </w:p>
          <w:p>
            <w:pPr>
              <w:numPr>
                <w:ilvl w:val="0"/>
                <w:numId w:val="0"/>
              </w:numPr>
              <w:ind w:leftChars="0"/>
              <w:rPr>
                <w:rFonts w:hint="eastAsia" w:asciiTheme="minorEastAsia" w:hAnsiTheme="minorEastAsia" w:eastAsiaTheme="minorEastAsia" w:cstheme="minorEastAsia"/>
                <w:kern w:val="0"/>
                <w:sz w:val="24"/>
                <w:szCs w:val="24"/>
                <w14:ligatures w14:val="none"/>
              </w:rPr>
            </w:pPr>
            <w:r>
              <w:rPr>
                <w:rFonts w:hint="eastAsia" w:ascii="宋体" w:hAnsi="宋体" w:eastAsia="宋体" w:cs="宋体"/>
                <w:kern w:val="0"/>
                <w:sz w:val="24"/>
                <w:szCs w:val="24"/>
                <w:lang w:val="en-US" w:eastAsia="zh-CN"/>
                <w14:ligatures w14:val="none"/>
              </w:rPr>
              <w:t>13、</w:t>
            </w:r>
            <w:r>
              <w:rPr>
                <w:rFonts w:hint="eastAsia" w:asciiTheme="minorEastAsia" w:hAnsiTheme="minorEastAsia" w:eastAsiaTheme="minorEastAsia" w:cstheme="minorEastAsia"/>
                <w:i w:val="0"/>
                <w:iCs w:val="0"/>
                <w:color w:val="000000"/>
                <w:kern w:val="0"/>
                <w:sz w:val="24"/>
                <w:szCs w:val="24"/>
                <w:u w:val="none"/>
                <w:lang w:val="en-US" w:eastAsia="zh-CN" w:bidi="ar"/>
              </w:rPr>
              <w:t>需提供厂家售后服务承诺函原件（加盖厂家公章）。</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cstheme="minorEastAsia"/>
                <w:i w:val="0"/>
                <w:iCs w:val="0"/>
                <w:color w:val="000000"/>
                <w:kern w:val="0"/>
                <w:sz w:val="24"/>
                <w:szCs w:val="24"/>
                <w:u w:val="none"/>
                <w:lang w:val="en-US" w:eastAsia="zh-CN" w:bidi="ar"/>
              </w:rPr>
              <w:t>9</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学生耳机</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基本参数</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线长：2.8m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标称阻抗：32ohm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咪灵敏度：-38+/-3dB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连接器：USB-A插头</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耳机灵敏度：91+/-3dB</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音质</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频响范围：20Hz~20KHz</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0</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操作系统</w:t>
            </w:r>
          </w:p>
        </w:tc>
        <w:tc>
          <w:tcPr>
            <w:tcW w:w="7865" w:type="dxa"/>
            <w:shd w:val="clear" w:color="auto" w:fill="FFFFFF"/>
            <w:vAlign w:val="top"/>
          </w:tcPr>
          <w:p>
            <w:pPr>
              <w:keepNext w:val="0"/>
              <w:keepLines w:val="0"/>
              <w:widowControl/>
              <w:suppressLineNumbers w:val="0"/>
              <w:jc w:val="left"/>
              <w:textAlignment w:val="top"/>
              <w:rPr>
                <w:rFonts w:hint="default" w:asciiTheme="minorEastAsia" w:hAnsiTheme="minorEastAsia" w:eastAsiaTheme="minorEastAsia" w:cstheme="minorEastAsia"/>
                <w:kern w:val="0"/>
                <w:sz w:val="24"/>
                <w:szCs w:val="24"/>
                <w:lang w:val="en-US" w:eastAsia="zh-CN"/>
                <w14:ligatures w14:val="none"/>
              </w:rPr>
            </w:pPr>
            <w:r>
              <w:rPr>
                <w:rFonts w:hint="eastAsia" w:asciiTheme="minorEastAsia" w:hAnsiTheme="minorEastAsia" w:cstheme="minorEastAsia"/>
                <w:kern w:val="0"/>
                <w:sz w:val="24"/>
                <w:szCs w:val="24"/>
                <w:lang w:val="en-US" w:eastAsia="zh-CN"/>
                <w14:ligatures w14:val="none"/>
              </w:rPr>
              <w:t>国产操作系统</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1、操作系统软件具有应用商店，应用商店可提供教育行业应用商店，可提供系统截图证明；</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2、操作系统软件默认安装操作系统原厂青少年上网保护插件，对低俗垃圾广告拦截、不良内容拦截、跨网站跟踪用户信息链接。需提供系统截图证明与青少年上网保护软件著作登记证书。</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3、智能上网保护：支持在线网页中低俗广告拦截、支持在线网页中性感图片、性感视频拦截、支持在线查阅广告拦截统计、不良内容拦截统计、支持在线对网上有害信息举报</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4、智能护眼健康：提供专业眼保健操视频、提供护眼屏保、提供护眼色温调节、提供休息提醒</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5、AI智能助手：系统集成AI功能，支持主流国产AI大模型，包括百度千帆、讯飞星火、360智脑与智谱等。支持使用文字或者语音输入的方式多模态的输入与输出。支持通过AI进行问答和内容生成，解决疑问解答、语言学习、创意写作等具体问题，助力高效学习和工作。</w:t>
            </w:r>
          </w:p>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rPr>
              <w:t>6、操作系统系统支持保障安全升级的自动主备双根分区以及备份分区，并且在系统中有双根分区和备份分区标识（如：RootA和RootB、Recovery/Backup标识符），在系统升级后支持回滚、备份还原，并保留用户个人数据，提供功能截图证明。</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1</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办公软件</w:t>
            </w:r>
          </w:p>
        </w:tc>
        <w:tc>
          <w:tcPr>
            <w:tcW w:w="7865"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kern w:val="0"/>
                <w:sz w:val="24"/>
                <w:szCs w:val="24"/>
                <w14:ligatures w14:val="none"/>
              </w:rPr>
              <w:t>1、操作习惯兼容：软件界面与微软office界面在菜单排布和功能界面的操作使用上保持相似；</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2、界面样式多样性：支持窗口多组件/整合模式，支持进行单窗口多标签的拆分与组合，在多窗口模式下支持在系统任务栏显示多主窗口；</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3、支持主题外观皮肤选择；</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4、具备文字、表格、演示各组建基础模板，便于教职工编辑文档直接使用；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5、支持在表格中一键插入求和、计数、平均值等常用函数公式。支持多列数据合并操作。支持单元格数据的循环引用；</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6、文字、表格、演示模块均支持图形、图片对象各类属性的即时预览，如图形填充色、线条样式、线条粗细、线条虚实、箭头样式及阴影、映像、发光效果的即时预览；</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7、演示模块插入音频视频文件后在本应用中即可播放多媒体文件，无需调用其他播放软件，并且提供多种播放模式供选择。</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8、在文字、演示模块，中选择插入表格操作时，浮框支持即时预览插入效果；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9、在文字模块，右键插入行数的手动输入，便于一次性插入多行；</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10、在演示模块，表格可以选择表格样式，选择样式即可预览样式效果；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11、表格模块中支持数据自动生成柱形图、折线图、饼状图、条形图、面积图、xy散点图、股价图、雷达图、组合图等形式，各种类型之间可方便转换。支持图表定位到单元格中；</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12、格式兼容性：办公软件能生成.wps/.et/.dps等文件格式。双向兼容：各功能模块与微软 Office的Word、Excel、Powerpoint 三个功能模块相互兼容，支持格式包括且不限于 doc、docx、xls、xlsx、ppt、pptx、pdf、txt、xml。</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13、支持档修复：需支持修复打不开或损坏的文档，文档格式需支持Word/Excel/PPT/非纯图的PDF等；</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14、文字模块支持智能目录导航，自动识别文档结构，实时调整文档目录；标题格式不用调整样式，也可智能自动生成目录；</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15、表格模块支持表格的快速合并选择，支持教师一键选择合并居中、合并单元格、合并相同单元格、合并内容、取消合并单元格、拆分并填充内容；</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16、演示模块，支持手机移动OFFICE客户端进行控制PC端OFFICE放映的演示文档，实现把手机变成遥控器，便于演讲人能随时切换演示文档。</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2</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桌面云管理系统</w:t>
            </w:r>
          </w:p>
        </w:tc>
        <w:tc>
          <w:tcPr>
            <w:tcW w:w="7865" w:type="dxa"/>
            <w:shd w:val="clear" w:color="auto" w:fill="FFFFFF"/>
            <w:vAlign w:val="top"/>
          </w:tcPr>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1、管理软件为B/S架构，全中文图形化管理界面，服务器支持端口映射、DMZ等方式访问，支持现有网络环境下的跨网段、跨路由管理，在跨网段、跨路由的环境中，不需要增加任何硬件设备和调整网络设置。</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2、采用中央服务器管理模式，服务端支持主流的国产硬件平台和国产操作系统（UOS、kylin等），通过一台服务器管理不同品牌、不同架构的终端和主流操作系统。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3、管理系统可以统计终端用户数量、终端数量、虚拟磁盘数量和镜像数量等信息，同时可以统计服务器信息、CPU、内存及硬盘的使用率.</w:t>
            </w:r>
          </w:p>
          <w:p>
            <w:pPr>
              <w:keepNext w:val="0"/>
              <w:keepLines w:val="0"/>
              <w:widowControl/>
              <w:numPr>
                <w:ilvl w:val="0"/>
                <w:numId w:val="19"/>
              </w:numPr>
              <w:suppressLineNumbers w:val="0"/>
              <w:jc w:val="left"/>
              <w:textAlignment w:val="top"/>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系统服务端集成不同硬件架构的底层系统、客户端程序及数据库导入导出工具等，维护人员根据需求可以直接从服务端进行下载，无需找原始安装文件</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5、具有独立的前端可视化管理平台，并且只有执行权限，管理员可以根据需求，提前设定好的指令和策略的操作模块，减少一线操作员的误操作几率的发生。</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6、系统采用自主可控的底层维护通道技术，部署时不受网络架构及网络环境的限制，支持有线、无线、4G、5G等多种部署方式。</w:t>
            </w:r>
          </w:p>
          <w:p>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7、在受保护的系统或分区中，可以自定义某个文件夹内的所有内容，不进行还原，即保护了系统，也可以对一些特殊的应用程序特有的属性进行独立保护。</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3</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机房互动软件</w:t>
            </w:r>
          </w:p>
        </w:tc>
        <w:tc>
          <w:tcPr>
            <w:tcW w:w="7865" w:type="dxa"/>
            <w:shd w:val="clear" w:color="auto" w:fill="FFFFFF"/>
            <w:vAlign w:val="center"/>
          </w:tcPr>
          <w:p>
            <w:pPr>
              <w:widowControl/>
              <w:numPr>
                <w:ilvl w:val="0"/>
                <w:numId w:val="0"/>
              </w:numPr>
              <w:jc w:val="left"/>
              <w:rPr>
                <w:rFonts w:hint="eastAsia" w:asciiTheme="minorEastAsia" w:hAnsiTheme="minorEastAsia" w:eastAsiaTheme="minorEastAsia" w:cstheme="minorEastAsia"/>
                <w:kern w:val="0"/>
                <w:sz w:val="24"/>
                <w:szCs w:val="24"/>
                <w14:ligatures w14:val="none"/>
              </w:rPr>
            </w:pPr>
            <w:r>
              <w:rPr>
                <w:rFonts w:hint="eastAsia" w:asciiTheme="minorEastAsia" w:hAnsiTheme="minorEastAsia" w:eastAsiaTheme="minorEastAsia" w:cstheme="minorEastAsia"/>
                <w:kern w:val="0"/>
                <w:sz w:val="24"/>
                <w:szCs w:val="24"/>
                <w:lang w:val="en-US" w:eastAsia="zh-CN"/>
                <w14:ligatures w14:val="none"/>
              </w:rPr>
              <w:t>1、</w:t>
            </w:r>
            <w:r>
              <w:rPr>
                <w:rFonts w:hint="eastAsia" w:asciiTheme="minorEastAsia" w:hAnsiTheme="minorEastAsia" w:eastAsiaTheme="minorEastAsia" w:cstheme="minorEastAsia"/>
                <w:kern w:val="0"/>
                <w:sz w:val="24"/>
                <w:szCs w:val="24"/>
                <w14:ligatures w14:val="none"/>
              </w:rPr>
              <w:t>共享白板：系统支持导入图片创建白板内容，将白板内容共享给学生，教师可以选择某个学生控制老师的白板内容实现共同交互答题。教师也可以允许学生个人绘画模式在老师导入的素材白板内容基础上独立完成学习任务，教师可以监看所有学生的完成情况，同时可以把指定学生绘画的白板内容分享给其他同学欣赏。</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2、支持loongnix、UOS、Kylin、方德操作系统。</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3、试卷编辑：教师可通过答题卡编辑器插入图片，直接生成答题卡用于学生作答，试题类型包含选择题、判断题、填空题、论述题和手写题。教师可在答题卡中为客观题设置正确答案，为主观题设置参考答案。</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4、快速考试：教师可使用快速答题卡用于学生作答，输入考试名称、考试时间、试题类型、试题数量和试题分数即可快速发起考试，试题类型包含选择题、判断题、填空题、论述题和手写题。</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5、自定义考试：教师可使用自定义答题卡，将通过答题卡编辑器创建的答题卡导入试卷，分发给学生即可开始考试。开始考试后，教师可查看学生的答题进度。</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6、阅卷评分：考试结束后自动弹出评分界面，客观题可自动评分，教师只需对主观题进行手动评分，支持将考试评分结果发送给相应的学生，并支持将考试评分结果以网页形式导出到本地。</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7、</w:t>
            </w:r>
            <w:r>
              <w:rPr>
                <w:rFonts w:hint="eastAsia" w:asciiTheme="minorEastAsia" w:hAnsiTheme="minorEastAsia" w:eastAsiaTheme="minorEastAsia" w:cstheme="minorEastAsia"/>
                <w:kern w:val="0"/>
                <w:sz w:val="24"/>
                <w:szCs w:val="24"/>
                <w:lang w:val="en-US" w:eastAsia="zh-CN"/>
                <w14:ligatures w14:val="none"/>
              </w:rPr>
              <w:t>#</w:t>
            </w:r>
            <w:r>
              <w:rPr>
                <w:rFonts w:hint="eastAsia" w:asciiTheme="minorEastAsia" w:hAnsiTheme="minorEastAsia" w:eastAsiaTheme="minorEastAsia" w:cstheme="minorEastAsia"/>
                <w:kern w:val="0"/>
                <w:sz w:val="24"/>
                <w:szCs w:val="24"/>
                <w14:ligatures w14:val="none"/>
              </w:rPr>
              <w:t>抢答和竞答：组织全体或分组的快速抢答问题，有抢答口述回复、抢答文字回复、抢答屏幕转播回复三种方式，抢答对错后老师可以选择五角星+数字的方式给予学生相应奖励结果，并可根据题目的难易程度给出不同的分值，竞赛支持同一小组内排名。（提供功能截图并加盖</w:t>
            </w:r>
            <w:r>
              <w:rPr>
                <w:rFonts w:hint="eastAsia" w:asciiTheme="minorEastAsia" w:hAnsiTheme="minorEastAsia" w:eastAsia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8、扩展屏广播模式：教师机连接两个显示器，可在广播时选择将任意一个显示器的内容广播到学生机。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9、网络影院：采用流媒体技术，可实现教师机播放的视频同步无延时广播到学生机，学生无需下载该文件，教师也无需共享该文件。支持VCD、DVD、AVI等主流文件格式，支持720p、1080p高清视频。网络快照：教师可以在监控学生的时候，对学生画面拍快照或者录制，保存学生画面的截图或桌面视频。</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10、签到：提供学生名单管理工具，为软件和考试模块提供实名验证。提供点名功能，支持保留学生多次登录记录、考勤统计、签到信息的导出与对比，支持csv 格式的导出。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11、分组讨论：可以进行教师将学生分组，同组的组员可以相互讨论，教师可以参加任意组的讨论。</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12、文件分发：允许教师将教师机不同盘符中的目录或文件一起发送至生机的某目录下。目录不存在自动新建此目录；盘符不存在或路径非法不允许分发；文件已存在选择自动覆盖或保留原始文件。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13、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14、自动锁屏：独有的断线保护自动锁屏技术，通过网卡的是否激活来锁定屏幕，避免学生拔掉网线违反纪律。</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15、防杀进程：为安全起见，学生端程序运行后，防止学生通过任务管理器结束学生端程序进程来逃脱教师控制。</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16、请求帮助：学生端遇到问题可请求帮助，教师端可远程遥控帮助学生解决问题。</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17、远程消息：教师与学生能够使用远程消息进行交流，并可以允许和阻止学生发送文字消息。</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18、黑屏肃静：教师可以对单一、部分、全体学生执行或解除黑屏操作，教师可自定义黑屏的内容与图片。</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19、键鼠禁用：教师可以对单一、部分、全体学生禁用键鼠操作，禁用时学生端鼠标和键盘被锁定，学生无法进行任何操作。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20、远程命令：教师可进行远程打开网页、开机、关机、重启、关闭应用程序等操作。</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#21、视图模式：软件提供监控视图、详细信息视图、策略视图、文件提交视图、答题卡视图、抢答竞赛视图、共享白板视图。（厂家提供CSTC标识的软件评测中心检测报告并加盖</w:t>
            </w:r>
            <w:r>
              <w:rPr>
                <w:rFonts w:hint="eastAsia" w:asciiTheme="minorEastAsia" w:hAnsi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22、另具备屏幕广播、学生演示、网络影院、远程开关机、远程命令、屏幕监看、举手、发言、防杀进程、黑屏肃静、文件分发、文件收集等功能。</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#23、加密方式：系统可进行在线序列号加密和离线文件加密。（厂家提供CSTC标识的软件评测中心检测报告并加盖</w:t>
            </w:r>
            <w:r>
              <w:rPr>
                <w:rFonts w:hint="eastAsia" w:asciiTheme="minorEastAsia" w:hAnsiTheme="minorEastAsia" w:cstheme="minorEastAsia"/>
                <w:kern w:val="0"/>
                <w:sz w:val="24"/>
                <w:szCs w:val="24"/>
                <w:lang w:val="en-US" w:eastAsia="zh-CN"/>
                <w14:ligatures w14:val="none"/>
              </w:rPr>
              <w:t>生产厂家</w:t>
            </w:r>
            <w:r>
              <w:rPr>
                <w:rFonts w:hint="eastAsia" w:asciiTheme="minorEastAsia" w:hAnsiTheme="minorEastAsia" w:eastAsiaTheme="minorEastAsia" w:cstheme="minorEastAsia"/>
                <w:kern w:val="0"/>
                <w:sz w:val="24"/>
                <w:szCs w:val="24"/>
                <w14:ligatures w14:val="none"/>
              </w:rPr>
              <w:t>公章）</w:t>
            </w:r>
            <w:r>
              <w:rPr>
                <w:rFonts w:hint="eastAsia" w:asciiTheme="minorEastAsia" w:hAnsiTheme="minorEastAsia" w:eastAsiaTheme="minorEastAsia" w:cstheme="minorEastAsia"/>
                <w:kern w:val="0"/>
                <w:sz w:val="24"/>
                <w:szCs w:val="24"/>
                <w14:ligatures w14:val="none"/>
              </w:rPr>
              <w:br w:type="textWrapping"/>
            </w:r>
            <w:r>
              <w:rPr>
                <w:rFonts w:hint="eastAsia" w:asciiTheme="minorEastAsia" w:hAnsiTheme="minorEastAsia" w:eastAsiaTheme="minorEastAsia" w:cstheme="minorEastAsia"/>
                <w:kern w:val="0"/>
                <w:sz w:val="24"/>
                <w:szCs w:val="24"/>
                <w14:ligatures w14:val="none"/>
              </w:rPr>
              <w:t>24、多教室同时授课时系统登录支持学生端选择在线的任意老师端进入授课方式。</w:t>
            </w:r>
            <w:r>
              <w:rPr>
                <w:rFonts w:hint="eastAsia" w:asciiTheme="minorEastAsia" w:hAnsiTheme="minorEastAsia" w:eastAsiaTheme="minorEastAsia" w:cstheme="minorEastAsia"/>
                <w:color w:val="FF0000"/>
                <w:kern w:val="0"/>
                <w:sz w:val="24"/>
                <w:szCs w:val="24"/>
                <w14:ligatures w14:val="none"/>
              </w:rPr>
              <w:br w:type="textWrapping"/>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14:ligatures w14:val="none"/>
              </w:rPr>
              <w:t>#</w:t>
            </w:r>
            <w:r>
              <w:rPr>
                <w:rFonts w:hint="eastAsia" w:asciiTheme="minorEastAsia" w:hAnsiTheme="minorEastAsia" w:eastAsiaTheme="minorEastAsia" w:cstheme="minorEastAsia"/>
                <w:kern w:val="0"/>
                <w:sz w:val="24"/>
                <w:szCs w:val="24"/>
                <w14:ligatures w14:val="none"/>
              </w:rPr>
              <w:t>25、客户端策略限制：具有客户端自行断网后自动启用断网锁屏功能、主控端通过黑白名单功能开启网页限制功能、主控端还可以开启对学生电脑的U盘限制功能。</w:t>
            </w:r>
            <w:r>
              <w:rPr>
                <w:rFonts w:hint="eastAsia" w:asciiTheme="minorEastAsia" w:hAnsiTheme="minorEastAsia" w:cstheme="minorEastAsia"/>
                <w:kern w:val="0"/>
                <w:sz w:val="24"/>
                <w:szCs w:val="24"/>
                <w:lang w:eastAsia="zh-CN"/>
                <w14:ligatures w14:val="none"/>
              </w:rPr>
              <w:t>（</w:t>
            </w:r>
            <w:r>
              <w:rPr>
                <w:rFonts w:hint="eastAsia" w:asciiTheme="minorEastAsia" w:hAnsiTheme="minorEastAsia" w:cstheme="minorEastAsia"/>
                <w:kern w:val="0"/>
                <w:sz w:val="24"/>
                <w:szCs w:val="24"/>
                <w:lang w:val="en-US" w:eastAsia="zh-CN"/>
                <w14:ligatures w14:val="none"/>
              </w:rPr>
              <w:t>厂家提供功能截图并加盖生产厂家公章）</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kern w:val="0"/>
                <w:sz w:val="24"/>
                <w:szCs w:val="24"/>
                <w:lang w:val="en-US" w:eastAsia="zh-CN"/>
                <w14:ligatures w14:val="none"/>
              </w:rPr>
              <w:t>2</w:t>
            </w:r>
            <w:r>
              <w:rPr>
                <w:rFonts w:hint="eastAsia" w:asciiTheme="minorEastAsia" w:hAnsiTheme="minorEastAsia" w:cstheme="minorEastAsia"/>
                <w:kern w:val="0"/>
                <w:sz w:val="24"/>
                <w:szCs w:val="24"/>
                <w:lang w:val="en-US" w:eastAsia="zh-CN"/>
                <w14:ligatures w14:val="none"/>
              </w:rPr>
              <w:t>6</w:t>
            </w:r>
            <w:r>
              <w:rPr>
                <w:rFonts w:hint="eastAsia" w:asciiTheme="minorEastAsia" w:hAnsiTheme="minorEastAsia" w:eastAsiaTheme="minorEastAsia" w:cstheme="minorEastAsia"/>
                <w:kern w:val="0"/>
                <w:sz w:val="24"/>
                <w:szCs w:val="24"/>
                <w:lang w:val="en-US" w:eastAsia="zh-CN"/>
                <w14:ligatures w14:val="none"/>
              </w:rPr>
              <w:t>、</w:t>
            </w:r>
            <w:r>
              <w:rPr>
                <w:rFonts w:hint="eastAsia" w:asciiTheme="minorEastAsia" w:hAnsiTheme="minorEastAsia" w:eastAsiaTheme="minorEastAsia" w:cstheme="minorEastAsia"/>
                <w:kern w:val="0"/>
                <w:sz w:val="24"/>
                <w:szCs w:val="24"/>
                <w14:ligatures w14:val="none"/>
              </w:rPr>
              <w:t>系统具有CSTC软件评测中心的“软件产品检测报告”。</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迁移服务费</w:t>
            </w:r>
          </w:p>
        </w:tc>
        <w:tc>
          <w:tcPr>
            <w:tcW w:w="7865" w:type="dxa"/>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校园英语考试系统国产化迁移、测试、服务费</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534" w:type="dxa"/>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15</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学生桌1</w:t>
            </w:r>
          </w:p>
        </w:tc>
        <w:tc>
          <w:tcPr>
            <w:tcW w:w="7865" w:type="dxa"/>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1、三人位：L1980×W600×H750mm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2、桌面采用25毫米三聚氰胺板（两侧材质为PVC封边），面材采用优质三聚氰胺板，甲醛释放达到国家E1级环保要求，颜色标配仿靓木，其他颜色可选。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3、桌体桌面前沿支撑骨架采用冷轧钢板折弯而成，壁厚大于1mm，表面经酸洗、磷化防腐防锈处理后静电喷塑。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桌腿采用蝴蝶型钢脚，钢管为1.2mm。中间为1.0mm冷轧钢板，高度725mm，底部配有隐形可敲漏50mm进线孔，配有尼龙可调节脚，耐用防滑。侧置纵向主机机箱，坚固耐用，结构牢固美观，经过除油、酸洗、磷化、打磨、静电喷塑。桌体精致美观，同时增强主机通风散热效果。</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534" w:type="dxa"/>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16</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学生桌2</w:t>
            </w:r>
          </w:p>
        </w:tc>
        <w:tc>
          <w:tcPr>
            <w:tcW w:w="7865" w:type="dxa"/>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1、二人位：L1320×W600×H750mm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2、桌面采用25毫米三聚氰胺板（两侧材质为PVC封边），面材采用优质三聚氰胺板，甲醛释放达到国家E1级环保要求，颜色标配仿靓木，其他颜色可选。</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3、桌体桌面前沿支撑骨架采用冷轧钢板折弯而成，壁厚大于1mm，表面经酸洗、磷化防腐防锈处理后静电喷塑。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桌腿采用蝴蝶型钢脚，钢管为1.2mm。中间为1.0mm冷轧钢板，高度725mm，底部配有隐形可敲漏50mm进线孔，配有尼龙可调节脚，耐用防滑。侧置纵向主机机箱，坚固耐用，结构牢固美观，经过除油、酸洗、磷化、打磨、静电喷塑。桌体精致美观，同时增强主机通风散热效果。</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534" w:type="dxa"/>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17</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学生凳</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规格：340×240×440mm，钢木结构</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凳面：采用E1级25mm厚三聚氰胺板,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框架采用25×25×1.0mm 方管。经过除油、酸洗、磷化、打磨、静电喷塑。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封边：截面采用PVC封条机械封边.</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8</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交换机1</w:t>
            </w:r>
          </w:p>
        </w:tc>
        <w:tc>
          <w:tcPr>
            <w:tcW w:w="7865" w:type="dxa"/>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1、交换容量≥330G，包转发率≥50Mpps，10/100/1000M以太网端口≥24个，1G SFP光接口≥4个；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2、为保证设备在受到外界机械碰撞时能够正常运行，要求所投交换机IK防护测试级别至少达到IK05；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3、为满足工作场所的耐高温要求，要求设备具备0~50°的宽温设计；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4、绿色节能：要求支持高效节能以太网特性。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5、要求所投设备MAC地址≥16K；</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6、要求设备采用静音无风扇节能设计；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7、支持基础网络保护策略，能够限制用户向网络中发送ARP报文、ICMP请求报文、DHCP请求报文等数据包的数率；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8、支持快速链路检测协议，可快速检测链路的通断和光纤链路的单向性，并支持端口下的环路检测功能；</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r>
              <w:rPr>
                <w:rFonts w:hint="eastAsia" w:asciiTheme="minorEastAsia" w:hAnsiTheme="minorEastAsia" w:cstheme="minorEastAsia"/>
                <w:i w:val="0"/>
                <w:iCs w:val="0"/>
                <w:color w:val="000000"/>
                <w:kern w:val="0"/>
                <w:sz w:val="24"/>
                <w:szCs w:val="24"/>
                <w:u w:val="none"/>
                <w:lang w:val="en-US" w:eastAsia="zh-CN" w:bidi="ar"/>
              </w:rPr>
              <w:t>9</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交换机2</w:t>
            </w:r>
          </w:p>
        </w:tc>
        <w:tc>
          <w:tcPr>
            <w:tcW w:w="7865" w:type="dxa"/>
            <w:shd w:val="clear" w:color="auto" w:fill="auto"/>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1、交换容量≥430G，包转发率≥80Mpps，10/100/1000M以太网端口≥48个，1G SFP光接口≥4个；</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2、为保证设备在受到外界机械碰撞时能够正常运行，要求所投交换机IK防护测试级别至少达到IK05；</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3、为满足工作场所的耐高温要求，要求设备具备0~50°的宽温设计；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4、绿色节能：要求支持高效节能以太网特性。</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5、要求所投设备MAC地址≥16K；</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6、要求设备采用静音无风扇节能设计；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7、支持基础网络保护策略，能够限制用户向网络中发送ARP报文、ICMP请求报文、DHCP请求报文等数据包的数率；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8、支持快速链路检测协议，可快速检测链路的通断和光纤链路的单向性，并支持端口下的环路检测功能；</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534" w:type="dxa"/>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20</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网线</w:t>
            </w:r>
          </w:p>
        </w:tc>
        <w:tc>
          <w:tcPr>
            <w:tcW w:w="7865"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六类非屏蔽双绞线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材质：OFC/PVC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线芯：23AWG纯铜芯</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534" w:type="dxa"/>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21</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网络配线架</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端口：≥24口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重量：≥0.89kg</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插拔：≥750次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端接：≥250次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尺寸：≥480mm*44.5mm</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3</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534" w:type="dxa"/>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22</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网络理线器</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产品材质：spcc冷轧钢板</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端口：≥24口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工艺：锻压、粉末电镀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颜色：黑色</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0" w:hRule="atLeast"/>
        </w:trPr>
        <w:tc>
          <w:tcPr>
            <w:tcW w:w="534" w:type="dxa"/>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23</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网络跳线</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传输带宽：≥250MHz</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传输速度：≥1000Mbps</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外被：环保PVC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接口：镀金接口</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线芯：24AWG 导体</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隔离：十字骨架</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r>
              <w:rPr>
                <w:rFonts w:hint="eastAsia" w:asciiTheme="minorEastAsia" w:hAnsiTheme="minorEastAsia" w:cstheme="minorEastAsia"/>
                <w:i w:val="0"/>
                <w:iCs w:val="0"/>
                <w:color w:val="000000"/>
                <w:kern w:val="0"/>
                <w:sz w:val="24"/>
                <w:szCs w:val="24"/>
                <w:u w:val="none"/>
                <w:lang w:val="en-US" w:eastAsia="zh-CN" w:bidi="ar"/>
              </w:rPr>
              <w:t>4</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水晶头</w:t>
            </w:r>
          </w:p>
        </w:tc>
        <w:tc>
          <w:tcPr>
            <w:tcW w:w="7865"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材质：环保PC</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接触铜片：三叉芯片</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网络标准：千兆网络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接口类型：RJ45</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r>
              <w:rPr>
                <w:rFonts w:hint="eastAsia" w:asciiTheme="minorEastAsia" w:hAnsiTheme="minorEastAsia" w:cstheme="minorEastAsia"/>
                <w:i w:val="0"/>
                <w:iCs w:val="0"/>
                <w:color w:val="000000"/>
                <w:kern w:val="0"/>
                <w:sz w:val="24"/>
                <w:szCs w:val="24"/>
                <w:u w:val="none"/>
                <w:lang w:val="en-US" w:eastAsia="zh-CN" w:bidi="ar"/>
              </w:rPr>
              <w:t>5</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电源线</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规格：BV4mm²</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绝缘层：PVC 抗老化，耐腐蚀</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导体：无氧铜</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电压：≥450/750V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长度：≥100米</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r>
              <w:rPr>
                <w:rFonts w:hint="eastAsia" w:asciiTheme="minorEastAsia" w:hAnsiTheme="minorEastAsia" w:cstheme="minorEastAsia"/>
                <w:i w:val="0"/>
                <w:iCs w:val="0"/>
                <w:color w:val="000000"/>
                <w:kern w:val="0"/>
                <w:sz w:val="24"/>
                <w:szCs w:val="24"/>
                <w:u w:val="none"/>
                <w:lang w:val="en-US" w:eastAsia="zh-CN" w:bidi="ar"/>
              </w:rPr>
              <w:t>6</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桥架</w:t>
            </w:r>
          </w:p>
        </w:tc>
        <w:tc>
          <w:tcPr>
            <w:tcW w:w="7865"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产品材质：镀锌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尺寸：≥100*200mm</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r>
              <w:rPr>
                <w:rFonts w:hint="eastAsia" w:asciiTheme="minorEastAsia" w:hAnsiTheme="minorEastAsia" w:cstheme="minorEastAsia"/>
                <w:i w:val="0"/>
                <w:iCs w:val="0"/>
                <w:color w:val="000000"/>
                <w:kern w:val="0"/>
                <w:sz w:val="24"/>
                <w:szCs w:val="24"/>
                <w:u w:val="none"/>
                <w:lang w:val="en-US" w:eastAsia="zh-CN" w:bidi="ar"/>
              </w:rPr>
              <w:t>7</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镀锌管</w:t>
            </w:r>
          </w:p>
        </w:tc>
        <w:tc>
          <w:tcPr>
            <w:tcW w:w="7865"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25镀锌管</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制造工艺：折弯、烧焊、打磨等工艺</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光滑度高、厚度均匀、性能稳定。</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r>
              <w:rPr>
                <w:rFonts w:hint="eastAsia" w:asciiTheme="minorEastAsia" w:hAnsiTheme="minorEastAsia" w:cstheme="minorEastAsia"/>
                <w:i w:val="0"/>
                <w:iCs w:val="0"/>
                <w:color w:val="000000"/>
                <w:kern w:val="0"/>
                <w:sz w:val="24"/>
                <w:szCs w:val="24"/>
                <w:u w:val="none"/>
                <w:lang w:val="en-US" w:eastAsia="zh-CN" w:bidi="ar"/>
              </w:rPr>
              <w:t>8</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86插座含底盒</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6孔10A含底盒</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r>
              <w:rPr>
                <w:rFonts w:hint="eastAsia" w:asciiTheme="minorEastAsia" w:hAnsiTheme="minorEastAsia" w:cstheme="minorEastAsia"/>
                <w:i w:val="0"/>
                <w:iCs w:val="0"/>
                <w:color w:val="000000"/>
                <w:kern w:val="0"/>
                <w:sz w:val="24"/>
                <w:szCs w:val="24"/>
                <w:u w:val="none"/>
                <w:lang w:val="en-US" w:eastAsia="zh-CN" w:bidi="ar"/>
              </w:rPr>
              <w:t>9</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插线板</w:t>
            </w:r>
          </w:p>
        </w:tc>
        <w:tc>
          <w:tcPr>
            <w:tcW w:w="7865"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6插位抗电涌</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尺寸：≥250mm*98mm*39.6mm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最大电流：≥10A</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额定电压：≥250V</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功率：≥2500W</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0" w:hRule="atLeast"/>
        </w:trPr>
        <w:tc>
          <w:tcPr>
            <w:tcW w:w="534" w:type="dxa"/>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30</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防静电地板</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规格：≥600mm*600mm*35mm</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材质：陶瓷面</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采用 一级冷轧钢板拉伸成型点焊，上层采用冷轧钢板，下层采用 抗拉钢板冲压形成，两层经过冲压形成钢壳，钢壳内填充发泡水泥；表面采用耐磨防静电陶瓷面，四周镶嵌导电条。</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75.24</w:t>
            </w:r>
          </w:p>
        </w:tc>
        <w:tc>
          <w:tcPr>
            <w:tcW w:w="585" w:type="dxa"/>
            <w:shd w:val="clear" w:color="auto" w:fill="auto"/>
            <w:vAlign w:val="center"/>
          </w:tcPr>
          <w:p>
            <w:pPr>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34" w:type="dxa"/>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31</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防静电地板配件</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地板支柱配件、包边、包角等</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75.24</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534" w:type="dxa"/>
            <w:shd w:val="clear" w:color="auto" w:fill="FFFFFF"/>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32</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地板安装</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防静电地板安装敷设</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75.24</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r>
              <w:rPr>
                <w:rFonts w:hint="eastAsia" w:asciiTheme="minorEastAsia" w:hAnsiTheme="minorEastAsia" w:cstheme="minorEastAsia"/>
                <w:i w:val="0"/>
                <w:iCs w:val="0"/>
                <w:color w:val="000000"/>
                <w:kern w:val="0"/>
                <w:sz w:val="24"/>
                <w:szCs w:val="24"/>
                <w:u w:val="none"/>
                <w:lang w:val="en-US" w:eastAsia="zh-CN" w:bidi="ar"/>
              </w:rPr>
              <w:t>3</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设备拆除</w:t>
            </w:r>
          </w:p>
        </w:tc>
        <w:tc>
          <w:tcPr>
            <w:tcW w:w="7865" w:type="dxa"/>
            <w:shd w:val="clear" w:color="auto" w:fill="FFFFFF"/>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旧设备拆除搬运到指定地点</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r>
              <w:rPr>
                <w:rFonts w:hint="eastAsia" w:asciiTheme="minorEastAsia" w:hAnsiTheme="minorEastAsia" w:cstheme="minorEastAsia"/>
                <w:i w:val="0"/>
                <w:iCs w:val="0"/>
                <w:color w:val="000000"/>
                <w:kern w:val="0"/>
                <w:sz w:val="24"/>
                <w:szCs w:val="24"/>
                <w:u w:val="none"/>
                <w:lang w:val="en-US" w:eastAsia="zh-CN" w:bidi="ar"/>
              </w:rPr>
              <w:t>4</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辅料</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含软管、打标纸、自攻钉、胶布、胀栓、接地端子、管卡子安装等</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r>
              <w:rPr>
                <w:rFonts w:hint="eastAsia" w:asciiTheme="minorEastAsia" w:hAnsiTheme="minorEastAsia" w:cstheme="minorEastAsia"/>
                <w:i w:val="0"/>
                <w:iCs w:val="0"/>
                <w:color w:val="000000"/>
                <w:kern w:val="0"/>
                <w:sz w:val="24"/>
                <w:szCs w:val="24"/>
                <w:u w:val="none"/>
                <w:lang w:val="en-US" w:eastAsia="zh-CN" w:bidi="ar"/>
              </w:rPr>
              <w:t>5</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机房综合布线</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含电源、网络桥架敷设、电源线、网线敷设，电源空开维护</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534"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r>
              <w:rPr>
                <w:rFonts w:hint="eastAsia" w:asciiTheme="minorEastAsia" w:hAnsiTheme="minorEastAsia" w:cstheme="minorEastAsia"/>
                <w:i w:val="0"/>
                <w:iCs w:val="0"/>
                <w:color w:val="000000"/>
                <w:kern w:val="0"/>
                <w:sz w:val="24"/>
                <w:szCs w:val="24"/>
                <w:u w:val="none"/>
                <w:lang w:val="en-US" w:eastAsia="zh-CN" w:bidi="ar"/>
              </w:rPr>
              <w:t>6</w:t>
            </w:r>
          </w:p>
        </w:tc>
        <w:tc>
          <w:tcPr>
            <w:tcW w:w="775" w:type="dxa"/>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机房系统集成</w:t>
            </w:r>
          </w:p>
        </w:tc>
        <w:tc>
          <w:tcPr>
            <w:tcW w:w="7865" w:type="dxa"/>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含电脑安装调试、网络调试、机房配套软件调试</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含从楼道总配电至教室内配电。</w:t>
            </w:r>
          </w:p>
        </w:tc>
        <w:tc>
          <w:tcPr>
            <w:tcW w:w="49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585" w:type="dxa"/>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点</w:t>
            </w:r>
          </w:p>
        </w:tc>
      </w:tr>
    </w:tbl>
    <w:p/>
    <w:p>
      <w:pPr>
        <w:pStyle w:val="24"/>
        <w:ind w:left="480" w:leftChars="200" w:firstLine="0" w:firstLineChars="0"/>
        <w:rPr>
          <w:rFonts w:hint="eastAsia" w:ascii="宋体" w:hAnsi="宋体" w:cs="宋体"/>
          <w:color w:val="auto"/>
        </w:rPr>
      </w:pPr>
      <w:r>
        <w:rPr>
          <w:rFonts w:hint="eastAsia" w:ascii="宋体" w:hAnsi="宋体" w:cs="宋体"/>
          <w:b/>
          <w:bCs/>
          <w:color w:val="auto"/>
          <w:lang w:eastAsia="zh-CN"/>
        </w:rPr>
        <w:t>二、</w:t>
      </w:r>
      <w:r>
        <w:rPr>
          <w:rFonts w:hint="eastAsia" w:ascii="宋体" w:hAnsi="宋体" w:cs="宋体"/>
          <w:b/>
          <w:bCs/>
          <w:color w:val="auto"/>
        </w:rPr>
        <w:t>售后服务</w:t>
      </w:r>
    </w:p>
    <w:p>
      <w:pPr>
        <w:pStyle w:val="24"/>
        <w:ind w:left="480" w:leftChars="200" w:firstLine="0" w:firstLineChars="0"/>
        <w:rPr>
          <w:rFonts w:hint="eastAsia" w:ascii="宋体" w:hAnsi="宋体" w:cs="宋体"/>
          <w:color w:val="000000"/>
        </w:rPr>
      </w:pPr>
      <w:r>
        <w:rPr>
          <w:rFonts w:hint="eastAsia" w:ascii="宋体" w:hAnsi="宋体" w:cs="宋体"/>
          <w:color w:val="000000"/>
        </w:rPr>
        <w:t xml:space="preserve">自验收合格之日后： </w:t>
      </w:r>
    </w:p>
    <w:p>
      <w:pPr>
        <w:pStyle w:val="24"/>
        <w:ind w:left="480" w:leftChars="200" w:firstLine="0" w:firstLineChars="0"/>
        <w:rPr>
          <w:rFonts w:hint="eastAsia" w:ascii="宋体" w:hAnsi="宋体" w:cs="宋体"/>
          <w:color w:val="000000"/>
        </w:rPr>
      </w:pPr>
      <w:r>
        <w:rPr>
          <w:rFonts w:hint="eastAsia" w:ascii="宋体" w:hAnsi="宋体" w:cs="宋体"/>
          <w:color w:val="000000"/>
        </w:rPr>
        <w:t>（1）免费质保期限：</w:t>
      </w:r>
    </w:p>
    <w:p>
      <w:pPr>
        <w:pStyle w:val="24"/>
        <w:ind w:left="480" w:leftChars="200" w:firstLine="0" w:firstLineChars="0"/>
        <w:rPr>
          <w:rFonts w:hint="eastAsia" w:ascii="宋体" w:hAnsi="宋体" w:cs="宋体"/>
          <w:color w:val="000000"/>
        </w:rPr>
      </w:pPr>
      <w:r>
        <w:rPr>
          <w:rFonts w:hint="eastAsia" w:ascii="宋体" w:hAnsi="宋体" w:cs="宋体"/>
          <w:color w:val="000000"/>
        </w:rPr>
        <w:t>投标人应在投标文件中承诺免费质保期</w:t>
      </w:r>
      <w:r>
        <w:rPr>
          <w:rFonts w:hint="eastAsia" w:ascii="宋体" w:hAnsi="宋体" w:cs="宋体"/>
          <w:color w:val="auto"/>
        </w:rPr>
        <w:t>不少于3年。</w:t>
      </w:r>
      <w:r>
        <w:rPr>
          <w:rFonts w:hint="eastAsia" w:ascii="宋体" w:hAnsi="宋体" w:cs="宋体"/>
          <w:color w:val="000000"/>
        </w:rPr>
        <w:t>硬件产品在免费质保期内，投标人应负责免费更换部件，负责产品的日常维护保养，软件产品在免费售后服务期内，投标人应提供免费的升级、维护等服务。</w:t>
      </w:r>
    </w:p>
    <w:p>
      <w:pPr>
        <w:pStyle w:val="24"/>
        <w:ind w:left="480" w:leftChars="200" w:firstLine="0" w:firstLineChars="0"/>
        <w:rPr>
          <w:rFonts w:hint="eastAsia" w:ascii="宋体" w:hAnsi="宋体" w:cs="宋体"/>
          <w:color w:val="000000"/>
        </w:rPr>
      </w:pPr>
      <w:r>
        <w:rPr>
          <w:rFonts w:hint="eastAsia" w:ascii="宋体" w:hAnsi="宋体" w:cs="宋体"/>
          <w:color w:val="000000"/>
        </w:rPr>
        <w:t>（2）投标人确保对使用方提出的保修等质量信息，做到30分钟内电话响应，2小时内服务到位，组织维修和专业服务队伍到达现场，对产品进行免费保修服务。8小时内修复，如不能及时修复提供同等档次备机。投标人应明示售后服务中心地址（地址以投标人营业执照注册地或其他有效证明材料为准）、电话、负责人和服务组织机构，应设置24小时服务热线电话。</w:t>
      </w:r>
    </w:p>
    <w:p>
      <w:pPr>
        <w:pStyle w:val="24"/>
        <w:ind w:left="480" w:leftChars="200" w:right="-389" w:rightChars="-162" w:firstLine="0" w:firstLineChars="0"/>
        <w:rPr>
          <w:rFonts w:hint="eastAsia" w:ascii="宋体" w:hAnsi="宋体" w:cs="宋体"/>
          <w:color w:val="000000"/>
        </w:rPr>
      </w:pPr>
      <w:r>
        <w:rPr>
          <w:rFonts w:hint="eastAsia" w:ascii="宋体" w:hAnsi="宋体" w:cs="宋体"/>
          <w:color w:val="000000"/>
        </w:rPr>
        <w:t>（3）需提供详细培训计划，负责对买方人员进行专业培训，直至买方能完全操作。</w:t>
      </w:r>
    </w:p>
    <w:p>
      <w:pPr>
        <w:pStyle w:val="24"/>
        <w:ind w:left="480" w:leftChars="200" w:firstLine="0" w:firstLineChars="0"/>
        <w:rPr>
          <w:rFonts w:hint="eastAsia" w:ascii="宋体" w:hAnsi="宋体" w:cs="宋体"/>
          <w:b/>
          <w:bCs/>
          <w:color w:val="000000"/>
          <w:lang w:eastAsia="zh-CN"/>
        </w:rPr>
      </w:pPr>
      <w:r>
        <w:rPr>
          <w:rFonts w:hint="eastAsia" w:ascii="宋体" w:hAnsi="宋体" w:cs="宋体"/>
          <w:color w:val="000000"/>
        </w:rPr>
        <w:t>（4）投标人需提供定期巡检服务。</w:t>
      </w:r>
    </w:p>
    <w:p>
      <w:pPr>
        <w:pStyle w:val="24"/>
        <w:ind w:left="480" w:leftChars="200" w:firstLine="0" w:firstLineChars="0"/>
        <w:rPr>
          <w:rFonts w:hint="eastAsia" w:ascii="宋体" w:hAnsi="宋体" w:cs="宋体"/>
          <w:b/>
          <w:bCs/>
          <w:color w:val="000000"/>
        </w:rPr>
      </w:pPr>
      <w:r>
        <w:rPr>
          <w:rFonts w:hint="eastAsia" w:ascii="宋体" w:hAnsi="宋体" w:cs="宋体"/>
          <w:b/>
          <w:bCs/>
          <w:color w:val="000000"/>
          <w:lang w:eastAsia="zh-CN"/>
        </w:rPr>
        <w:t>三</w:t>
      </w:r>
      <w:r>
        <w:rPr>
          <w:rFonts w:hint="eastAsia" w:ascii="宋体" w:hAnsi="宋体" w:cs="宋体"/>
          <w:b/>
          <w:bCs/>
          <w:color w:val="000000"/>
        </w:rPr>
        <w:t>、交货</w:t>
      </w:r>
      <w:r>
        <w:rPr>
          <w:rFonts w:hint="eastAsia" w:ascii="宋体" w:hAnsi="宋体" w:cs="宋体"/>
          <w:b/>
          <w:bCs/>
          <w:color w:val="000000"/>
          <w:lang w:eastAsia="zh-CN"/>
        </w:rPr>
        <w:t>完工</w:t>
      </w:r>
      <w:r>
        <w:rPr>
          <w:rFonts w:hint="eastAsia" w:ascii="宋体" w:hAnsi="宋体" w:cs="宋体"/>
          <w:b/>
          <w:bCs/>
          <w:color w:val="000000"/>
        </w:rPr>
        <w:t>日期及交货</w:t>
      </w:r>
      <w:r>
        <w:rPr>
          <w:rFonts w:hint="eastAsia" w:ascii="宋体" w:hAnsi="宋体" w:cs="宋体"/>
          <w:b/>
          <w:bCs/>
          <w:color w:val="000000"/>
          <w:lang w:eastAsia="zh-CN"/>
        </w:rPr>
        <w:t>施工</w:t>
      </w:r>
      <w:r>
        <w:rPr>
          <w:rFonts w:hint="eastAsia" w:ascii="宋体" w:hAnsi="宋体" w:cs="宋体"/>
          <w:b/>
          <w:bCs/>
          <w:color w:val="000000"/>
        </w:rPr>
        <w:t>地点</w:t>
      </w:r>
    </w:p>
    <w:p>
      <w:pPr>
        <w:pStyle w:val="24"/>
        <w:ind w:left="480" w:leftChars="200" w:firstLine="0" w:firstLineChars="0"/>
        <w:rPr>
          <w:rFonts w:hint="eastAsia" w:ascii="宋体" w:hAnsi="宋体" w:cs="宋体"/>
          <w:color w:val="auto"/>
        </w:rPr>
      </w:pPr>
      <w:r>
        <w:rPr>
          <w:rFonts w:hint="eastAsia" w:ascii="宋体" w:hAnsi="宋体" w:cs="宋体"/>
          <w:color w:val="000000"/>
        </w:rPr>
        <w:t>（1）交货</w:t>
      </w:r>
      <w:r>
        <w:rPr>
          <w:rFonts w:hint="eastAsia" w:ascii="宋体" w:hAnsi="宋体" w:cs="宋体"/>
          <w:color w:val="000000"/>
          <w:lang w:eastAsia="zh-CN"/>
        </w:rPr>
        <w:t>完工</w:t>
      </w:r>
      <w:r>
        <w:rPr>
          <w:rFonts w:hint="eastAsia" w:ascii="宋体" w:hAnsi="宋体" w:cs="宋体"/>
          <w:color w:val="000000"/>
        </w:rPr>
        <w:t>日期：合同签订生效后</w:t>
      </w:r>
      <w:r>
        <w:rPr>
          <w:rFonts w:hint="eastAsia" w:ascii="宋体" w:hAnsi="宋体" w:cs="宋体"/>
          <w:color w:val="auto"/>
          <w:lang w:val="en-US" w:eastAsia="zh-CN"/>
        </w:rPr>
        <w:t>30</w:t>
      </w:r>
      <w:r>
        <w:rPr>
          <w:rFonts w:hint="eastAsia" w:ascii="宋体" w:hAnsi="宋体" w:cs="宋体"/>
          <w:color w:val="auto"/>
        </w:rPr>
        <w:t>个日历日内。</w:t>
      </w:r>
    </w:p>
    <w:p>
      <w:pPr>
        <w:pStyle w:val="24"/>
        <w:ind w:left="480" w:leftChars="200" w:firstLine="0" w:firstLineChars="0"/>
        <w:rPr>
          <w:rFonts w:hint="eastAsia" w:ascii="宋体" w:hAnsi="宋体" w:cs="宋体"/>
          <w:b/>
          <w:bCs/>
          <w:color w:val="auto"/>
          <w:lang w:eastAsia="zh-CN"/>
        </w:rPr>
      </w:pPr>
      <w:r>
        <w:rPr>
          <w:rFonts w:hint="eastAsia" w:ascii="宋体" w:hAnsi="宋体" w:cs="宋体"/>
          <w:color w:val="auto"/>
        </w:rPr>
        <w:t>（2）</w:t>
      </w:r>
      <w:r>
        <w:rPr>
          <w:rFonts w:hint="eastAsia" w:ascii="宋体" w:hAnsi="宋体" w:cs="宋体"/>
          <w:color w:val="auto"/>
          <w:lang w:eastAsia="zh-CN"/>
        </w:rPr>
        <w:t>交</w:t>
      </w:r>
      <w:r>
        <w:rPr>
          <w:rFonts w:hint="eastAsia" w:ascii="宋体" w:hAnsi="宋体" w:cs="宋体"/>
          <w:color w:val="auto"/>
        </w:rPr>
        <w:t>货</w:t>
      </w:r>
      <w:r>
        <w:rPr>
          <w:rFonts w:hint="eastAsia" w:ascii="宋体" w:hAnsi="宋体" w:cs="宋体"/>
          <w:color w:val="auto"/>
          <w:lang w:eastAsia="zh-CN"/>
        </w:rPr>
        <w:t>施工</w:t>
      </w:r>
      <w:r>
        <w:rPr>
          <w:rFonts w:hint="eastAsia" w:ascii="宋体" w:hAnsi="宋体" w:cs="宋体"/>
          <w:color w:val="auto"/>
        </w:rPr>
        <w:t>地点：用户指定。</w:t>
      </w:r>
    </w:p>
    <w:p>
      <w:pPr>
        <w:pStyle w:val="24"/>
        <w:ind w:left="480" w:leftChars="200" w:firstLine="0" w:firstLineChars="0"/>
        <w:rPr>
          <w:rFonts w:hint="eastAsia" w:ascii="宋体" w:hAnsi="宋体" w:cs="宋体"/>
          <w:b/>
          <w:bCs/>
          <w:color w:val="auto"/>
          <w:lang w:eastAsia="zh-CN"/>
        </w:rPr>
      </w:pPr>
      <w:r>
        <w:rPr>
          <w:rFonts w:hint="eastAsia" w:ascii="宋体" w:hAnsi="宋体" w:cs="宋体"/>
          <w:b/>
          <w:bCs/>
          <w:color w:val="auto"/>
          <w:lang w:eastAsia="zh-CN"/>
        </w:rPr>
        <w:t>四、验收</w:t>
      </w:r>
    </w:p>
    <w:p>
      <w:pPr>
        <w:pStyle w:val="24"/>
        <w:ind w:left="480" w:leftChars="200" w:firstLine="0" w:firstLineChars="0"/>
        <w:rPr>
          <w:rFonts w:hint="eastAsia" w:ascii="宋体" w:hAnsi="宋体" w:cs="宋体"/>
          <w:b w:val="0"/>
          <w:bCs w:val="0"/>
          <w:color w:val="auto"/>
          <w:lang w:eastAsia="zh-CN"/>
        </w:rPr>
      </w:pPr>
      <w:r>
        <w:rPr>
          <w:rFonts w:hint="eastAsia" w:ascii="宋体" w:hAnsi="宋体" w:cs="宋体"/>
          <w:b w:val="0"/>
          <w:bCs w:val="0"/>
          <w:color w:val="auto"/>
          <w:lang w:eastAsia="zh-CN"/>
        </w:rPr>
        <w:t>全部设备交付使用后并试运行7日之内由用户方组织验收。</w:t>
      </w:r>
    </w:p>
    <w:p>
      <w:pPr>
        <w:pStyle w:val="24"/>
        <w:ind w:left="480" w:leftChars="200" w:firstLine="0" w:firstLineChars="0"/>
        <w:rPr>
          <w:rFonts w:hint="eastAsia" w:ascii="宋体" w:hAnsi="宋体" w:cs="宋体"/>
          <w:b/>
          <w:bCs/>
          <w:color w:val="auto"/>
          <w:lang w:eastAsia="zh-CN"/>
        </w:rPr>
      </w:pPr>
      <w:r>
        <w:rPr>
          <w:rFonts w:hint="eastAsia" w:ascii="宋体" w:hAnsi="宋体" w:cs="宋体"/>
          <w:b/>
          <w:bCs/>
          <w:color w:val="auto"/>
          <w:lang w:eastAsia="zh-CN"/>
        </w:rPr>
        <w:t>五、付款方式</w:t>
      </w:r>
    </w:p>
    <w:p>
      <w:pPr>
        <w:pStyle w:val="24"/>
        <w:ind w:left="480" w:leftChars="200" w:firstLine="0" w:firstLineChars="0"/>
        <w:rPr>
          <w:rFonts w:hint="eastAsia" w:ascii="宋体" w:hAnsi="宋体" w:cs="宋体"/>
          <w:b w:val="0"/>
          <w:bCs w:val="0"/>
          <w:color w:val="auto"/>
          <w:lang w:eastAsia="zh-CN"/>
        </w:rPr>
      </w:pPr>
      <w:r>
        <w:rPr>
          <w:rFonts w:hint="eastAsia" w:ascii="宋体" w:hAnsi="宋体" w:cs="宋体"/>
          <w:b w:val="0"/>
          <w:bCs w:val="0"/>
          <w:color w:val="auto"/>
          <w:lang w:eastAsia="zh-CN"/>
        </w:rPr>
        <w:t>（1）合同签署生效后，由采购方向中标商支付合同总价</w:t>
      </w:r>
      <w:r>
        <w:rPr>
          <w:rFonts w:hint="eastAsia" w:ascii="宋体" w:hAnsi="宋体" w:cs="宋体"/>
          <w:b w:val="0"/>
          <w:bCs w:val="0"/>
          <w:color w:val="auto"/>
          <w:lang w:val="en-US" w:eastAsia="zh-CN"/>
        </w:rPr>
        <w:t>60</w:t>
      </w:r>
      <w:r>
        <w:rPr>
          <w:rFonts w:hint="eastAsia" w:ascii="宋体" w:hAnsi="宋体" w:cs="宋体"/>
          <w:b w:val="0"/>
          <w:bCs w:val="0"/>
          <w:color w:val="auto"/>
          <w:lang w:eastAsia="zh-CN"/>
        </w:rPr>
        <w:t>%的货款，同时中标商向采购方支付合同总价5%的履约保证金，自项目验收合格之日起</w:t>
      </w:r>
      <w:r>
        <w:rPr>
          <w:rFonts w:hint="eastAsia" w:ascii="宋体" w:hAnsi="宋体" w:cs="宋体"/>
          <w:b w:val="0"/>
          <w:bCs w:val="0"/>
          <w:color w:val="auto"/>
          <w:lang w:val="en-US" w:eastAsia="zh-CN"/>
        </w:rPr>
        <w:t>2年后无息退还</w:t>
      </w:r>
      <w:r>
        <w:rPr>
          <w:rFonts w:hint="eastAsia" w:ascii="宋体" w:hAnsi="宋体" w:cs="宋体"/>
          <w:b w:val="0"/>
          <w:bCs w:val="0"/>
          <w:color w:val="auto"/>
          <w:lang w:eastAsia="zh-CN"/>
        </w:rPr>
        <w:t>。</w:t>
      </w:r>
    </w:p>
    <w:p>
      <w:pPr>
        <w:pStyle w:val="24"/>
        <w:ind w:left="480" w:leftChars="200" w:firstLine="0" w:firstLineChars="0"/>
        <w:rPr>
          <w:rFonts w:hint="eastAsia" w:ascii="宋体" w:hAnsi="宋体" w:cs="宋体"/>
          <w:b/>
          <w:bCs/>
          <w:color w:val="000000"/>
          <w:lang w:eastAsia="zh-CN"/>
        </w:rPr>
      </w:pPr>
      <w:r>
        <w:rPr>
          <w:rFonts w:hint="eastAsia" w:ascii="宋体" w:hAnsi="宋体" w:cs="宋体"/>
          <w:b w:val="0"/>
          <w:bCs w:val="0"/>
          <w:color w:val="000000"/>
          <w:lang w:eastAsia="zh-CN"/>
        </w:rPr>
        <w:t>（2）中标商将货物送达合同指定地点并安装调试完毕验收合格后，由采购方向中标商支付合同总价</w:t>
      </w:r>
      <w:r>
        <w:rPr>
          <w:rFonts w:hint="eastAsia" w:ascii="宋体" w:hAnsi="宋体" w:cs="宋体"/>
          <w:b w:val="0"/>
          <w:bCs w:val="0"/>
          <w:color w:val="000000"/>
          <w:lang w:val="en-US" w:eastAsia="zh-CN"/>
        </w:rPr>
        <w:t>40</w:t>
      </w:r>
      <w:r>
        <w:rPr>
          <w:rFonts w:hint="eastAsia" w:ascii="宋体" w:hAnsi="宋体" w:cs="宋体"/>
          <w:b w:val="0"/>
          <w:bCs w:val="0"/>
          <w:color w:val="000000"/>
          <w:lang w:eastAsia="zh-CN"/>
        </w:rPr>
        <w:t>%的货款。</w:t>
      </w:r>
    </w:p>
    <w:p>
      <w:pPr>
        <w:pStyle w:val="24"/>
        <w:ind w:left="480" w:leftChars="200" w:firstLine="0" w:firstLineChars="0"/>
        <w:rPr>
          <w:rFonts w:hint="eastAsia" w:ascii="宋体" w:hAnsi="宋体" w:cs="宋体"/>
          <w:b/>
          <w:bCs/>
          <w:color w:val="000000"/>
        </w:rPr>
      </w:pPr>
      <w:r>
        <w:rPr>
          <w:rFonts w:hint="eastAsia" w:ascii="宋体" w:hAnsi="宋体" w:cs="宋体"/>
          <w:b/>
          <w:bCs/>
          <w:color w:val="000000"/>
          <w:lang w:eastAsia="zh-CN"/>
        </w:rPr>
        <w:t>六</w:t>
      </w:r>
      <w:r>
        <w:rPr>
          <w:rFonts w:hint="eastAsia" w:ascii="宋体" w:hAnsi="宋体" w:cs="宋体"/>
          <w:b/>
          <w:bCs/>
          <w:color w:val="000000"/>
        </w:rPr>
        <w:t>、总体要求</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投标人所投产品应为满足、相当于或者高于本招标文件要求的货物。</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软硬件设备需具备可靠性、安全性，符合国家和相关行业标准。</w:t>
      </w:r>
    </w:p>
    <w:p>
      <w:pPr>
        <w:pStyle w:val="24"/>
        <w:ind w:left="480" w:leftChars="200" w:firstLine="0" w:firstLineChars="0"/>
        <w:rPr>
          <w:rFonts w:hint="eastAsia" w:ascii="宋体" w:hAnsi="宋体" w:cs="宋体"/>
          <w:b/>
          <w:bCs/>
          <w:color w:val="000000"/>
        </w:rPr>
      </w:pPr>
      <w:r>
        <w:rPr>
          <w:rFonts w:hint="eastAsia" w:ascii="宋体" w:hAnsi="宋体" w:cs="宋体"/>
          <w:b/>
          <w:bCs/>
          <w:color w:val="000000"/>
          <w:lang w:eastAsia="zh-CN"/>
        </w:rPr>
        <w:t>七</w:t>
      </w:r>
      <w:r>
        <w:rPr>
          <w:rFonts w:hint="eastAsia" w:ascii="宋体" w:hAnsi="宋体" w:cs="宋体"/>
          <w:b/>
          <w:bCs/>
          <w:color w:val="000000"/>
        </w:rPr>
        <w:t>、政策要求</w:t>
      </w:r>
    </w:p>
    <w:p>
      <w:pPr>
        <w:pStyle w:val="24"/>
        <w:ind w:left="480" w:leftChars="200" w:firstLine="0" w:firstLineChars="0"/>
        <w:rPr>
          <w:rFonts w:hint="eastAsia" w:ascii="宋体" w:hAnsi="宋体" w:cs="宋体"/>
          <w:color w:val="000000"/>
        </w:rPr>
      </w:pPr>
      <w:r>
        <w:rPr>
          <w:rFonts w:hint="eastAsia" w:ascii="宋体" w:hAnsi="宋体" w:cs="宋体"/>
          <w:color w:val="000000"/>
        </w:rPr>
        <w:t xml:space="preserve"> </w:t>
      </w:r>
      <w:r>
        <w:rPr>
          <w:rFonts w:hint="eastAsia" w:ascii="宋体" w:hAnsi="宋体" w:cs="宋体"/>
          <w:color w:val="000000"/>
          <w:lang w:val="en-US" w:eastAsia="zh-CN"/>
        </w:rPr>
        <w:t xml:space="preserve"> 1.</w:t>
      </w:r>
      <w:r>
        <w:rPr>
          <w:rFonts w:hint="eastAsia" w:ascii="宋体" w:hAnsi="宋体" w:cs="宋体"/>
          <w:color w:val="000000"/>
        </w:rPr>
        <w:t>中小企业、监狱企业及残疾人福利性单位</w:t>
      </w:r>
    </w:p>
    <w:p>
      <w:pPr>
        <w:pStyle w:val="24"/>
        <w:ind w:left="480" w:leftChars="200" w:firstLine="240" w:firstLineChars="10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.1 中小企业定义：</w:t>
      </w:r>
    </w:p>
    <w:p>
      <w:pPr>
        <w:pStyle w:val="24"/>
        <w:ind w:left="480" w:leftChars="200" w:firstLine="240" w:firstLineChars="10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.1.1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w:t>
      </w:r>
    </w:p>
    <w:p>
      <w:pPr>
        <w:pStyle w:val="24"/>
        <w:ind w:left="480" w:leftChars="200" w:firstLine="0" w:firstLineChars="0"/>
        <w:rPr>
          <w:rFonts w:hint="eastAsia" w:ascii="宋体" w:hAnsi="宋体" w:cs="宋体"/>
          <w:color w:val="000000"/>
        </w:rPr>
      </w:pPr>
      <w:r>
        <w:rPr>
          <w:rFonts w:hint="eastAsia" w:ascii="宋体" w:hAnsi="宋体" w:cs="宋体"/>
          <w:color w:val="000000"/>
        </w:rPr>
        <w:t>（工信部联企业〔2011〕300号）。</w:t>
      </w:r>
    </w:p>
    <w:p>
      <w:pPr>
        <w:pStyle w:val="24"/>
        <w:ind w:left="720" w:leftChars="3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.1.2 供应</w:t>
      </w:r>
      <w:r>
        <w:rPr>
          <w:rFonts w:hint="eastAsia" w:ascii="宋体" w:hAnsi="宋体" w:cs="宋体"/>
          <w:color w:val="000000"/>
          <w:lang w:eastAsia="zh-CN"/>
        </w:rPr>
        <w:t>商提</w:t>
      </w:r>
      <w:r>
        <w:rPr>
          <w:rFonts w:hint="eastAsia" w:ascii="宋体" w:hAnsi="宋体" w:cs="宋体"/>
          <w:color w:val="000000"/>
        </w:rPr>
        <w:t>供的货物、工程或者服务符合下列情形的，享受中小企业扶持政策：</w:t>
      </w:r>
    </w:p>
    <w:p>
      <w:pPr>
        <w:pStyle w:val="24"/>
        <w:ind w:left="480" w:leftChars="200" w:firstLine="0" w:firstLineChars="0"/>
        <w:rPr>
          <w:rFonts w:hint="eastAsia" w:ascii="宋体" w:hAnsi="宋体" w:cs="宋体"/>
          <w:color w:val="000000"/>
        </w:rPr>
      </w:pPr>
      <w:r>
        <w:rPr>
          <w:rFonts w:hint="eastAsia" w:ascii="宋体" w:hAnsi="宋体" w:cs="宋体"/>
          <w:color w:val="000000"/>
        </w:rPr>
        <w:t>（1）在货物采购项目中，货物由中小企业制造，即货物由中小企业生产且使用该中小企业商号或者注册商标；</w:t>
      </w:r>
    </w:p>
    <w:p>
      <w:pPr>
        <w:pStyle w:val="24"/>
        <w:ind w:left="480" w:leftChars="200" w:firstLine="0" w:firstLineChars="0"/>
        <w:rPr>
          <w:rFonts w:hint="eastAsia" w:ascii="宋体" w:hAnsi="宋体" w:cs="宋体"/>
          <w:color w:val="000000"/>
        </w:rPr>
      </w:pPr>
      <w:r>
        <w:rPr>
          <w:rFonts w:hint="eastAsia" w:ascii="宋体" w:hAnsi="宋体" w:cs="宋体"/>
          <w:color w:val="000000"/>
        </w:rPr>
        <w:t>（2）在工程采购项目中，工程由中小企业承建，即工程施工单位为中小企业；</w:t>
      </w:r>
    </w:p>
    <w:p>
      <w:pPr>
        <w:pStyle w:val="24"/>
        <w:ind w:left="480" w:leftChars="200" w:firstLine="0" w:firstLineChars="0"/>
        <w:rPr>
          <w:rFonts w:hint="eastAsia" w:ascii="宋体" w:hAnsi="宋体" w:cs="宋体"/>
          <w:color w:val="000000"/>
        </w:rPr>
      </w:pPr>
      <w:r>
        <w:rPr>
          <w:rFonts w:hint="eastAsia" w:ascii="宋体" w:hAnsi="宋体" w:cs="宋体"/>
          <w:color w:val="000000"/>
        </w:rPr>
        <w:t>（3）在服务采购项目中，服务由中小企业承接，即供服务的人员为中小企业依照《中华人民共和国劳动合同法》订立劳动合同的从业人员。</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.1.3 在货物采购项目中，供应</w:t>
      </w:r>
      <w:r>
        <w:rPr>
          <w:rFonts w:hint="eastAsia" w:ascii="宋体" w:hAnsi="宋体" w:cs="宋体"/>
          <w:color w:val="000000"/>
          <w:lang w:eastAsia="zh-CN"/>
        </w:rPr>
        <w:t>商提</w:t>
      </w:r>
      <w:r>
        <w:rPr>
          <w:rFonts w:hint="eastAsia" w:ascii="宋体" w:hAnsi="宋体" w:cs="宋体"/>
          <w:color w:val="000000"/>
        </w:rPr>
        <w:t>供的货物既有中小企业制造货物，也有大型企业制造货物的，不享受中小企业扶持政策。</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.1.4 以联合体形式参加政府采购活动，联合体各方均为中小企业的，联合体视同中小企业。其中，联合体各方均为小微企业的，联合体视同小微企业。</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.2在政府采购活动中，监狱企业视同小型、微型企业，享受预留份额、评审中价格扣除等政府采购促进中小企业发展的政府采购政策。监狱企业定义</w:t>
      </w:r>
      <w:r>
        <w:rPr>
          <w:rFonts w:hint="eastAsia" w:ascii="宋体" w:hAnsi="宋体" w:cs="宋体"/>
          <w:color w:val="000000"/>
          <w:lang w:eastAsia="zh-CN"/>
        </w:rPr>
        <w:t>：</w:t>
      </w:r>
      <w:r>
        <w:rPr>
          <w:rFonts w:hint="eastAsia" w:ascii="宋体" w:hAnsi="宋体" w:cs="宋体"/>
          <w:color w:val="000000"/>
        </w:rPr>
        <w:t>是指由司法部认定的为罪犯、戒毒人</w:t>
      </w:r>
      <w:r>
        <w:rPr>
          <w:rFonts w:hint="eastAsia" w:ascii="宋体" w:hAnsi="宋体" w:cs="宋体"/>
          <w:color w:val="000000"/>
          <w:lang w:eastAsia="zh-CN"/>
        </w:rPr>
        <w:t>员提</w:t>
      </w:r>
      <w:r>
        <w:rPr>
          <w:rFonts w:hint="eastAsia" w:ascii="宋体" w:hAnsi="宋体" w:cs="宋体"/>
          <w:color w:val="000000"/>
        </w:rPr>
        <w:t>供生产项目和劳动对象</w:t>
      </w:r>
      <w:r>
        <w:rPr>
          <w:rFonts w:hint="eastAsia" w:ascii="宋体" w:hAnsi="宋体" w:cs="宋体"/>
          <w:color w:val="000000"/>
          <w:lang w:eastAsia="zh-CN"/>
        </w:rPr>
        <w:t>，</w:t>
      </w:r>
      <w:r>
        <w:rPr>
          <w:rFonts w:hint="eastAsia" w:ascii="宋体" w:hAnsi="宋体" w:cs="宋体"/>
          <w:color w:val="000000"/>
        </w:rPr>
        <w:t>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.3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.3.1 安置的残疾人占本单位在职职工人数的比例不低于 25%（含 25%），并且安置的残疾人人数不少于 10人（含 10人）；</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.3.2 依法与安置的每位残疾人签订了一年以上（含一年）的劳动合同或服务协议；</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.3.3 为安置的每位残疾人按月足额缴纳了基本养老保险、基本医疗保险、失业保险、工伤保险和生育保险等社会保险费；</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.3.4 通过银行等金融机构向安置的每位残疾人，按月支付了不低于单位所在区县适用的经省级人民政府批准的月最低工资标准的工资；</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.3.</w:t>
      </w:r>
      <w:r>
        <w:rPr>
          <w:rFonts w:hint="eastAsia" w:ascii="宋体" w:hAnsi="宋体" w:cs="宋体"/>
          <w:color w:val="000000"/>
          <w:lang w:val="en-US" w:eastAsia="zh-CN"/>
        </w:rPr>
        <w:t>5提</w:t>
      </w:r>
      <w:r>
        <w:rPr>
          <w:rFonts w:hint="eastAsia" w:ascii="宋体" w:hAnsi="宋体" w:cs="宋体"/>
          <w:color w:val="000000"/>
        </w:rPr>
        <w:t>供本单位制造的货物、承担的工程或者服务（以下简称产品），或者ᨀ供其他残疾人福利性单位制造的货物（不包括使用非残疾人福利性单位注册商标的货物）；</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.3.6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.4 本项目是否专门面向中小企业预留采购份额见第一章《投标邀请》。</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.5 采购标的对应的中小企业划分标准所属行业见《投标人须知资料表》。</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1</w:t>
      </w:r>
      <w:r>
        <w:rPr>
          <w:rFonts w:hint="eastAsia" w:ascii="宋体" w:hAnsi="宋体" w:cs="宋体"/>
          <w:color w:val="000000"/>
        </w:rPr>
        <w:t>.6 小微企业价格评审优惠的政策调整：见第</w:t>
      </w:r>
      <w:r>
        <w:rPr>
          <w:rFonts w:hint="eastAsia" w:ascii="宋体" w:hAnsi="宋体" w:cs="宋体"/>
          <w:color w:val="000000"/>
          <w:lang w:eastAsia="zh-CN"/>
        </w:rPr>
        <w:t>五部分</w:t>
      </w:r>
      <w:r>
        <w:rPr>
          <w:rFonts w:hint="eastAsia" w:ascii="宋体" w:hAnsi="宋体" w:cs="宋体"/>
          <w:color w:val="000000"/>
        </w:rPr>
        <w:t>《评标标准和评标方法》。</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政府采购节能产品、环境标志产品</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.1政府采购节能产品、环境标志产品实施品目清单管理。财政部、发展改革委、生态环境部等部门根据产品节能环保性能、技术水平和市场成熟程度等因素， 确定实施政府优先采购和强制采购的产品类别及所依据的相关标准规范，以品目清单的形式发布并适时调整。依据品目清单和认证证书实施政府优先采购和强制采购。</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.3 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color w:val="000000"/>
          <w:lang w:eastAsia="zh-CN"/>
        </w:rPr>
        <w:t>并在投标文件中提供</w:t>
      </w:r>
      <w:r>
        <w:rPr>
          <w:rFonts w:hint="eastAsia" w:ascii="宋体" w:hAnsi="宋体" w:cs="宋体"/>
          <w:color w:val="000000"/>
        </w:rPr>
        <w:t>，否则投标无效；</w:t>
      </w:r>
    </w:p>
    <w:p>
      <w:pPr>
        <w:pStyle w:val="24"/>
        <w:ind w:left="480" w:leftChars="200" w:firstLine="0" w:firstLineChars="0"/>
        <w:rPr>
          <w:rFonts w:hint="eastAsia"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.4非政府强制采购的节能产品或环境标志产品，依据品目清单和认证证书实施政府优先采购。优先采购的具体规定见第</w:t>
      </w:r>
      <w:r>
        <w:rPr>
          <w:rFonts w:hint="eastAsia" w:ascii="宋体" w:hAnsi="宋体" w:cs="宋体"/>
          <w:color w:val="000000"/>
          <w:lang w:eastAsia="zh-CN"/>
        </w:rPr>
        <w:t>五部分</w:t>
      </w:r>
      <w:r>
        <w:rPr>
          <w:rFonts w:hint="eastAsia" w:ascii="宋体" w:hAnsi="宋体" w:cs="宋体"/>
          <w:color w:val="000000"/>
        </w:rPr>
        <w:t>《评标标准和评标方法》（如涉及）。</w:t>
      </w:r>
    </w:p>
    <w:p>
      <w:pPr>
        <w:pStyle w:val="24"/>
        <w:ind w:left="480" w:leftChars="200" w:firstLine="0" w:firstLineChars="0"/>
        <w:rPr>
          <w:rFonts w:hint="eastAsia" w:ascii="宋体" w:hAnsi="宋体" w:cs="宋体"/>
          <w:color w:val="000000"/>
          <w:lang w:val="en-US" w:eastAsia="zh-CN"/>
        </w:rPr>
      </w:pPr>
      <w:r>
        <w:rPr>
          <w:rFonts w:hint="eastAsia" w:ascii="宋体" w:hAnsi="宋体" w:cs="宋体"/>
          <w:color w:val="000000"/>
          <w:lang w:val="en-US" w:eastAsia="zh-CN"/>
        </w:rPr>
        <w:t>3.正版软件</w:t>
      </w:r>
    </w:p>
    <w:p>
      <w:pPr>
        <w:pStyle w:val="24"/>
        <w:ind w:left="480" w:leftChars="200" w:firstLine="0" w:firstLineChars="0"/>
        <w:rPr>
          <w:rFonts w:hint="eastAsia" w:ascii="宋体" w:hAnsi="宋体" w:cs="宋体"/>
          <w:color w:val="000000"/>
          <w:lang w:val="en-US" w:eastAsia="zh-CN"/>
        </w:rPr>
      </w:pPr>
      <w:r>
        <w:rPr>
          <w:rFonts w:hint="eastAsia" w:ascii="宋体" w:hAnsi="宋体" w:cs="宋体"/>
          <w:color w:val="000000"/>
          <w:lang w:val="en-US" w:eastAsia="zh-CN"/>
        </w:rPr>
        <w:t>3.1 依据《财政部国家发展改革委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 技术及市场成熟等情况，从国家指定的认证机构认证的生产厂商和产 品型号中确定优先采购的产品，并以无线局域网认证产品政府采购清单（以下简称清单）的形式公布。清单中新增认证产品厂商和型号，由财政部、国家发展改革委、信息产业部以文件形式确定、公布并适时调整。</w:t>
      </w:r>
    </w:p>
    <w:p>
      <w:pPr>
        <w:pStyle w:val="24"/>
        <w:ind w:left="480" w:leftChars="200" w:firstLine="0" w:firstLineChars="0"/>
        <w:rPr>
          <w:rFonts w:hint="eastAsia" w:ascii="宋体" w:hAnsi="宋体" w:cs="宋体"/>
          <w:color w:val="000000"/>
          <w:lang w:val="en-US" w:eastAsia="zh-CN"/>
        </w:rPr>
      </w:pPr>
      <w:r>
        <w:rPr>
          <w:rFonts w:hint="eastAsia" w:ascii="宋体" w:hAnsi="宋体" w:cs="宋体"/>
          <w:color w:val="000000"/>
          <w:lang w:val="en-US" w:eastAsia="zh-CN"/>
        </w:rPr>
        <w:t>3.2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pStyle w:val="24"/>
        <w:numPr>
          <w:ilvl w:val="0"/>
          <w:numId w:val="0"/>
        </w:numPr>
        <w:ind w:leftChars="200"/>
        <w:rPr>
          <w:rFonts w:hint="eastAsia" w:ascii="宋体" w:hAnsi="宋体" w:cs="宋体"/>
          <w:color w:val="000000"/>
          <w:lang w:val="en-US" w:eastAsia="zh-CN"/>
        </w:rPr>
      </w:pPr>
      <w:r>
        <w:rPr>
          <w:rFonts w:hint="eastAsia" w:ascii="宋体" w:hAnsi="宋体" w:cs="宋体"/>
          <w:color w:val="000000"/>
          <w:lang w:val="en-US" w:eastAsia="zh-CN"/>
        </w:rPr>
        <w:t>4.网络安全专用产品：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pPr>
        <w:pStyle w:val="24"/>
        <w:numPr>
          <w:ilvl w:val="0"/>
          <w:numId w:val="0"/>
        </w:numPr>
        <w:ind w:leftChars="200"/>
        <w:rPr>
          <w:rFonts w:hint="eastAsia" w:ascii="宋体" w:hAnsi="宋体" w:cs="宋体"/>
          <w:color w:val="000000"/>
          <w:lang w:val="en-US" w:eastAsia="zh-CN"/>
        </w:rPr>
      </w:pPr>
      <w:r>
        <w:rPr>
          <w:rFonts w:hint="eastAsia" w:ascii="宋体" w:hAnsi="宋体" w:cs="宋体"/>
          <w:color w:val="000000"/>
          <w:lang w:val="en-US" w:eastAsia="zh-CN"/>
        </w:rPr>
        <w:t>5.本项目不接受进口产品的投标。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Style w:val="24"/>
        <w:numPr>
          <w:ilvl w:val="0"/>
          <w:numId w:val="0"/>
        </w:numPr>
        <w:ind w:leftChars="200"/>
        <w:rPr>
          <w:rFonts w:hint="eastAsia" w:ascii="宋体" w:hAnsi="宋体" w:cs="宋体"/>
          <w:color w:val="000000"/>
          <w:lang w:val="en-US" w:eastAsia="zh-CN"/>
        </w:rPr>
      </w:pPr>
      <w:r>
        <w:rPr>
          <w:rFonts w:hint="eastAsia" w:ascii="宋体" w:hAnsi="宋体" w:cs="宋体"/>
          <w:color w:val="000000"/>
          <w:lang w:val="en-US" w:eastAsia="zh-CN"/>
        </w:rPr>
        <w:t>6.本项目执行《北京市财政局中国人民银行营业管理部关于推进政府采购合同线上融资有关工作的通知》（京财采购[2023]637号）“政采贷”相关政策。</w:t>
      </w:r>
    </w:p>
    <w:p>
      <w:pPr>
        <w:pStyle w:val="24"/>
        <w:numPr>
          <w:ilvl w:val="0"/>
          <w:numId w:val="0"/>
        </w:numPr>
        <w:ind w:leftChars="200"/>
        <w:rPr>
          <w:rFonts w:hint="eastAsia" w:ascii="宋体" w:hAnsi="宋体" w:cs="宋体"/>
          <w:color w:val="000000"/>
          <w:lang w:val="en-US" w:eastAsia="zh-CN"/>
        </w:rPr>
      </w:pPr>
    </w:p>
    <w:p>
      <w:pPr>
        <w:pStyle w:val="24"/>
        <w:numPr>
          <w:ilvl w:val="0"/>
          <w:numId w:val="0"/>
        </w:numPr>
        <w:ind w:leftChars="200"/>
        <w:rPr>
          <w:rFonts w:hint="eastAsia" w:ascii="宋体" w:hAnsi="宋体" w:cs="宋体"/>
          <w:color w:val="000000"/>
          <w:lang w:val="en-US" w:eastAsia="zh-CN"/>
        </w:rPr>
      </w:pPr>
    </w:p>
    <w:bookmarkEnd w:id="59"/>
    <w:bookmarkEnd w:id="60"/>
    <w:bookmarkEnd w:id="61"/>
    <w:p>
      <w:pPr>
        <w:pStyle w:val="48"/>
        <w:snapToGrid w:val="0"/>
        <w:spacing w:before="0" w:after="0"/>
        <w:ind w:left="0"/>
        <w:rPr>
          <w:rFonts w:ascii="宋体" w:hAnsi="宋体"/>
          <w:color w:val="auto"/>
        </w:rPr>
      </w:pPr>
      <w:bookmarkStart w:id="62" w:name="_Toc466015314"/>
      <w:r>
        <w:rPr>
          <w:rFonts w:hint="eastAsia" w:ascii="宋体" w:hAnsi="宋体"/>
          <w:color w:val="auto"/>
          <w:lang w:val="en-US" w:eastAsia="zh-CN"/>
        </w:rPr>
        <w:t xml:space="preserve"> </w:t>
      </w:r>
      <w:r>
        <w:rPr>
          <w:rFonts w:hint="eastAsia" w:ascii="宋体" w:hAnsi="宋体"/>
          <w:color w:val="auto"/>
        </w:rPr>
        <w:t>评标标准和评标方法</w:t>
      </w:r>
      <w:bookmarkEnd w:id="62"/>
    </w:p>
    <w:p>
      <w:pPr>
        <w:pStyle w:val="24"/>
        <w:spacing w:line="560" w:lineRule="exact"/>
        <w:ind w:firstLine="482"/>
        <w:rPr>
          <w:rFonts w:hint="eastAsia" w:ascii="宋体" w:hAnsi="宋体" w:cs="仿宋"/>
          <w:b/>
          <w:color w:val="auto"/>
        </w:rPr>
      </w:pPr>
      <w:r>
        <w:rPr>
          <w:rFonts w:hint="eastAsia" w:ascii="宋体" w:hAnsi="宋体" w:cs="仿宋"/>
          <w:b/>
          <w:color w:val="auto"/>
          <w:lang w:eastAsia="zh-CN"/>
        </w:rPr>
        <w:t>一</w:t>
      </w:r>
      <w:r>
        <w:rPr>
          <w:rFonts w:hint="eastAsia" w:ascii="宋体" w:hAnsi="宋体" w:cs="仿宋"/>
          <w:b/>
          <w:color w:val="auto"/>
        </w:rPr>
        <w:t>、评审程序</w:t>
      </w:r>
    </w:p>
    <w:p>
      <w:pPr>
        <w:pStyle w:val="24"/>
        <w:spacing w:line="560" w:lineRule="exact"/>
        <w:ind w:firstLine="482"/>
        <w:rPr>
          <w:rFonts w:hint="eastAsia" w:ascii="宋体" w:hAnsi="宋体" w:cs="仿宋"/>
          <w:b/>
          <w:color w:val="auto"/>
        </w:rPr>
      </w:pPr>
      <w:r>
        <w:rPr>
          <w:rFonts w:hint="eastAsia" w:ascii="宋体" w:hAnsi="宋体" w:cs="仿宋"/>
          <w:b/>
          <w:color w:val="auto"/>
        </w:rPr>
        <w:t>（一）资格</w:t>
      </w:r>
      <w:r>
        <w:rPr>
          <w:rFonts w:hint="eastAsia" w:ascii="宋体" w:hAnsi="宋体" w:cs="仿宋"/>
          <w:b/>
          <w:color w:val="auto"/>
          <w:lang w:eastAsia="zh-CN"/>
        </w:rPr>
        <w:t>性</w:t>
      </w:r>
      <w:r>
        <w:rPr>
          <w:rFonts w:hint="eastAsia" w:ascii="宋体" w:hAnsi="宋体" w:cs="仿宋"/>
          <w:b/>
          <w:color w:val="auto"/>
        </w:rPr>
        <w:t>审查和符合性审查</w:t>
      </w:r>
    </w:p>
    <w:p>
      <w:pPr>
        <w:pStyle w:val="24"/>
        <w:spacing w:line="560" w:lineRule="exact"/>
        <w:ind w:firstLine="480"/>
        <w:rPr>
          <w:rFonts w:hint="eastAsia" w:ascii="宋体" w:hAnsi="宋体" w:cs="仿宋"/>
          <w:bCs/>
          <w:color w:val="auto"/>
        </w:rPr>
      </w:pPr>
      <w:r>
        <w:rPr>
          <w:rFonts w:hint="eastAsia" w:ascii="宋体" w:hAnsi="宋体" w:cs="仿宋"/>
          <w:bCs/>
          <w:color w:val="auto"/>
        </w:rPr>
        <w:t>按照招标文件的规定，对投标文件进行资格</w:t>
      </w:r>
      <w:r>
        <w:rPr>
          <w:rFonts w:hint="eastAsia" w:ascii="宋体" w:hAnsi="宋体" w:cs="仿宋"/>
          <w:bCs/>
          <w:color w:val="auto"/>
          <w:lang w:eastAsia="zh-CN"/>
        </w:rPr>
        <w:t>性</w:t>
      </w:r>
      <w:r>
        <w:rPr>
          <w:rFonts w:hint="eastAsia" w:ascii="宋体" w:hAnsi="宋体" w:cs="仿宋"/>
          <w:bCs/>
          <w:color w:val="auto"/>
        </w:rPr>
        <w:t>审查（附表1）和符合性审查（附表2）审查。</w:t>
      </w:r>
    </w:p>
    <w:p>
      <w:pPr>
        <w:pStyle w:val="24"/>
        <w:spacing w:line="560" w:lineRule="exact"/>
        <w:ind w:firstLine="482"/>
        <w:rPr>
          <w:rFonts w:hint="eastAsia" w:ascii="宋体" w:hAnsi="宋体" w:cs="仿宋"/>
          <w:b/>
          <w:color w:val="auto"/>
        </w:rPr>
      </w:pPr>
      <w:r>
        <w:rPr>
          <w:rFonts w:hint="eastAsia" w:ascii="宋体" w:hAnsi="宋体" w:cs="仿宋"/>
          <w:b/>
          <w:color w:val="auto"/>
        </w:rPr>
        <w:t>附表1</w:t>
      </w:r>
    </w:p>
    <w:tbl>
      <w:tblPr>
        <w:tblStyle w:val="31"/>
        <w:tblW w:w="9507" w:type="dxa"/>
        <w:tblInd w:w="0" w:type="dxa"/>
        <w:tblLayout w:type="fixed"/>
        <w:tblCellMar>
          <w:top w:w="15" w:type="dxa"/>
          <w:left w:w="15" w:type="dxa"/>
          <w:bottom w:w="15" w:type="dxa"/>
          <w:right w:w="15" w:type="dxa"/>
        </w:tblCellMar>
      </w:tblPr>
      <w:tblGrid>
        <w:gridCol w:w="479"/>
        <w:gridCol w:w="3224"/>
        <w:gridCol w:w="4950"/>
        <w:gridCol w:w="854"/>
      </w:tblGrid>
      <w:tr>
        <w:tblPrEx>
          <w:tblLayout w:type="fixed"/>
          <w:tblCellMar>
            <w:top w:w="15" w:type="dxa"/>
            <w:left w:w="15" w:type="dxa"/>
            <w:bottom w:w="15" w:type="dxa"/>
            <w:right w:w="15" w:type="dxa"/>
          </w:tblCellMar>
        </w:tblPrEx>
        <w:trPr>
          <w:trHeight w:val="375" w:hRule="atLeast"/>
        </w:trPr>
        <w:tc>
          <w:tcPr>
            <w:tcW w:w="8653" w:type="dxa"/>
            <w:gridSpan w:val="3"/>
            <w:vAlign w:val="center"/>
          </w:tcPr>
          <w:p>
            <w:pPr>
              <w:widowControl/>
              <w:jc w:val="center"/>
              <w:textAlignment w:val="center"/>
              <w:rPr>
                <w:rFonts w:hint="eastAsia" w:ascii="宋体" w:hAnsi="宋体" w:cs="宋体"/>
                <w:color w:val="auto"/>
                <w:sz w:val="24"/>
                <w:szCs w:val="24"/>
              </w:rPr>
            </w:pPr>
            <w:r>
              <w:rPr>
                <w:rFonts w:hint="eastAsia" w:ascii="宋体" w:hAnsi="宋体" w:cs="宋体"/>
                <w:b/>
                <w:bCs/>
                <w:color w:val="auto"/>
                <w:kern w:val="0"/>
                <w:sz w:val="24"/>
                <w:szCs w:val="24"/>
                <w:lang w:bidi="ar"/>
              </w:rPr>
              <w:t>资格</w:t>
            </w:r>
            <w:r>
              <w:rPr>
                <w:rFonts w:hint="eastAsia" w:ascii="宋体" w:hAnsi="宋体" w:cs="宋体"/>
                <w:b/>
                <w:bCs/>
                <w:color w:val="auto"/>
                <w:kern w:val="0"/>
                <w:sz w:val="24"/>
                <w:szCs w:val="24"/>
                <w:lang w:eastAsia="zh-CN" w:bidi="ar"/>
              </w:rPr>
              <w:t>性</w:t>
            </w:r>
            <w:r>
              <w:rPr>
                <w:rFonts w:hint="eastAsia" w:ascii="宋体" w:hAnsi="宋体" w:cs="宋体"/>
                <w:b/>
                <w:bCs/>
                <w:color w:val="auto"/>
                <w:kern w:val="0"/>
                <w:sz w:val="24"/>
                <w:szCs w:val="24"/>
                <w:lang w:bidi="ar"/>
              </w:rPr>
              <w:t>审查评审表</w:t>
            </w:r>
          </w:p>
        </w:tc>
        <w:tc>
          <w:tcPr>
            <w:tcW w:w="854" w:type="dxa"/>
            <w:vAlign w:val="bottom"/>
          </w:tcPr>
          <w:p>
            <w:pPr>
              <w:rPr>
                <w:rFonts w:hint="eastAsia" w:ascii="宋体" w:hAnsi="宋体" w:cs="宋体"/>
                <w:color w:val="auto"/>
                <w:sz w:val="24"/>
                <w:szCs w:val="24"/>
              </w:rPr>
            </w:pPr>
          </w:p>
        </w:tc>
      </w:tr>
      <w:tr>
        <w:tblPrEx>
          <w:tblLayout w:type="fixed"/>
          <w:tblCellMar>
            <w:top w:w="15" w:type="dxa"/>
            <w:left w:w="15" w:type="dxa"/>
            <w:bottom w:w="15" w:type="dxa"/>
            <w:right w:w="15" w:type="dxa"/>
          </w:tblCellMar>
        </w:tblPrEx>
        <w:trPr>
          <w:trHeight w:val="495" w:hRule="atLeast"/>
        </w:trPr>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序号</w:t>
            </w:r>
          </w:p>
        </w:tc>
        <w:tc>
          <w:tcPr>
            <w:tcW w:w="3224"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资格条件</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审查内容和审查标准</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color w:val="auto"/>
                <w:sz w:val="24"/>
                <w:szCs w:val="24"/>
              </w:rPr>
            </w:pPr>
            <w:r>
              <w:rPr>
                <w:rFonts w:hint="eastAsia" w:ascii="宋体" w:hAnsi="宋体" w:cs="宋体"/>
                <w:b/>
                <w:color w:val="auto"/>
                <w:kern w:val="0"/>
                <w:sz w:val="24"/>
                <w:szCs w:val="24"/>
                <w:lang w:bidi="ar"/>
              </w:rPr>
              <w:t>结论</w:t>
            </w:r>
          </w:p>
        </w:tc>
      </w:tr>
      <w:tr>
        <w:tblPrEx>
          <w:tblLayout w:type="fixed"/>
          <w:tblCellMar>
            <w:top w:w="15" w:type="dxa"/>
            <w:left w:w="15" w:type="dxa"/>
            <w:bottom w:w="15" w:type="dxa"/>
            <w:right w:w="15" w:type="dxa"/>
          </w:tblCellMar>
        </w:tblPrEx>
        <w:trPr>
          <w:trHeight w:val="540" w:hRule="atLeast"/>
        </w:trPr>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val="en-US" w:eastAsia="zh-CN" w:bidi="ar"/>
              </w:rPr>
              <w:t>1</w:t>
            </w:r>
          </w:p>
        </w:tc>
        <w:tc>
          <w:tcPr>
            <w:tcW w:w="3224"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val="en-US" w:eastAsia="zh-CN" w:bidi="ar"/>
              </w:rPr>
              <w:t>营业执照</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有效的营业执照</w:t>
            </w:r>
            <w:r>
              <w:rPr>
                <w:rFonts w:hint="eastAsia" w:ascii="宋体" w:hAnsi="宋体" w:cs="宋体"/>
                <w:color w:val="auto"/>
                <w:kern w:val="0"/>
                <w:sz w:val="24"/>
                <w:szCs w:val="24"/>
                <w:lang w:eastAsia="zh-CN" w:bidi="ar"/>
              </w:rPr>
              <w:t>扫描件</w:t>
            </w:r>
            <w:r>
              <w:rPr>
                <w:rFonts w:hint="eastAsia" w:ascii="宋体" w:hAnsi="宋体" w:cs="宋体"/>
                <w:color w:val="auto"/>
                <w:kern w:val="0"/>
                <w:sz w:val="24"/>
                <w:szCs w:val="24"/>
                <w:lang w:bidi="ar"/>
              </w:rPr>
              <w:t>并加盖</w:t>
            </w:r>
            <w:r>
              <w:rPr>
                <w:rFonts w:hint="eastAsia" w:ascii="宋体" w:hAnsi="宋体" w:cs="宋体"/>
                <w:color w:val="auto"/>
                <w:kern w:val="0"/>
                <w:sz w:val="24"/>
                <w:szCs w:val="24"/>
                <w:lang w:eastAsia="zh-CN" w:bidi="ar"/>
              </w:rPr>
              <w:t>投标人公章（电子签章）</w:t>
            </w:r>
          </w:p>
        </w:tc>
        <w:tc>
          <w:tcPr>
            <w:tcW w:w="854"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cs="宋体"/>
                <w:color w:val="auto"/>
                <w:sz w:val="24"/>
                <w:szCs w:val="24"/>
              </w:rPr>
            </w:pPr>
          </w:p>
        </w:tc>
      </w:tr>
      <w:tr>
        <w:tblPrEx>
          <w:tblLayout w:type="fixed"/>
          <w:tblCellMar>
            <w:top w:w="15" w:type="dxa"/>
            <w:left w:w="15" w:type="dxa"/>
            <w:bottom w:w="15" w:type="dxa"/>
            <w:right w:w="15" w:type="dxa"/>
          </w:tblCellMar>
        </w:tblPrEx>
        <w:trPr>
          <w:trHeight w:val="540" w:hRule="atLeast"/>
        </w:trPr>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2</w:t>
            </w:r>
          </w:p>
        </w:tc>
        <w:tc>
          <w:tcPr>
            <w:tcW w:w="3224"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cs="宋体"/>
                <w:color w:val="auto"/>
                <w:kern w:val="0"/>
                <w:sz w:val="24"/>
                <w:szCs w:val="24"/>
                <w:lang w:val="en-US" w:eastAsia="zh-CN" w:bidi="ar"/>
              </w:rPr>
            </w:pPr>
            <w:r>
              <w:rPr>
                <w:rFonts w:hint="eastAsia" w:ascii="宋体" w:hAnsi="宋体"/>
                <w:b w:val="0"/>
                <w:bCs/>
                <w:color w:val="auto"/>
                <w:sz w:val="24"/>
                <w:szCs w:val="24"/>
              </w:rPr>
              <w:t>法定代表人声明或法定代表人授权书</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szCs w:val="24"/>
                <w:lang w:eastAsia="zh-CN" w:bidi="ar"/>
              </w:rPr>
            </w:pPr>
            <w:r>
              <w:rPr>
                <w:rFonts w:hint="eastAsia" w:ascii="宋体" w:hAnsi="宋体" w:cs="宋体"/>
                <w:color w:val="auto"/>
                <w:kern w:val="0"/>
                <w:sz w:val="24"/>
                <w:szCs w:val="24"/>
                <w:lang w:eastAsia="zh-CN" w:bidi="ar"/>
              </w:rPr>
              <w:t>按招标文件要求提供</w:t>
            </w:r>
          </w:p>
        </w:tc>
        <w:tc>
          <w:tcPr>
            <w:tcW w:w="854"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cs="宋体"/>
                <w:color w:val="auto"/>
                <w:sz w:val="24"/>
                <w:szCs w:val="24"/>
              </w:rPr>
            </w:pPr>
          </w:p>
        </w:tc>
      </w:tr>
      <w:tr>
        <w:tblPrEx>
          <w:tblLayout w:type="fixed"/>
          <w:tblCellMar>
            <w:top w:w="15" w:type="dxa"/>
            <w:left w:w="15" w:type="dxa"/>
            <w:bottom w:w="15" w:type="dxa"/>
            <w:right w:w="15" w:type="dxa"/>
          </w:tblCellMar>
        </w:tblPrEx>
        <w:trPr>
          <w:trHeight w:val="90" w:hRule="atLeast"/>
        </w:trPr>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val="en-US" w:eastAsia="zh-CN" w:bidi="ar"/>
              </w:rPr>
              <w:t>3</w:t>
            </w:r>
          </w:p>
        </w:tc>
        <w:tc>
          <w:tcPr>
            <w:tcW w:w="3224" w:type="dxa"/>
            <w:tcBorders>
              <w:top w:val="single" w:color="000000" w:sz="4" w:space="0"/>
              <w:left w:val="single" w:color="000000" w:sz="4" w:space="0"/>
              <w:bottom w:val="single" w:color="000000" w:sz="4" w:space="0"/>
            </w:tcBorders>
            <w:vAlign w:val="center"/>
          </w:tcPr>
          <w:p>
            <w:pPr>
              <w:spacing w:after="468" w:afterLines="150"/>
              <w:jc w:val="both"/>
              <w:rPr>
                <w:rFonts w:hint="eastAsia" w:ascii="宋体" w:hAnsi="宋体" w:cs="宋体"/>
                <w:bCs/>
                <w:color w:val="auto"/>
                <w:kern w:val="0"/>
                <w:sz w:val="24"/>
                <w:szCs w:val="24"/>
                <w:lang w:bidi="ar"/>
              </w:rPr>
            </w:pPr>
            <w:r>
              <w:rPr>
                <w:rFonts w:hint="eastAsia" w:ascii="宋体" w:hAnsi="宋体"/>
                <w:color w:val="auto"/>
                <w:sz w:val="24"/>
                <w:szCs w:val="24"/>
              </w:rPr>
              <w:t>投标人资格条件承诺书</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bCs/>
                <w:color w:val="auto"/>
                <w:kern w:val="0"/>
                <w:sz w:val="24"/>
                <w:szCs w:val="24"/>
                <w:lang w:bidi="ar"/>
              </w:rPr>
            </w:pPr>
            <w:r>
              <w:rPr>
                <w:rFonts w:hint="eastAsia" w:ascii="宋体" w:hAnsi="宋体"/>
                <w:bCs/>
                <w:color w:val="auto"/>
                <w:sz w:val="24"/>
                <w:szCs w:val="24"/>
              </w:rPr>
              <w:t>提供承诺书并加盖</w:t>
            </w:r>
            <w:r>
              <w:rPr>
                <w:rFonts w:hint="eastAsia" w:ascii="宋体" w:hAnsi="宋体" w:cs="宋体"/>
                <w:color w:val="auto"/>
                <w:kern w:val="0"/>
                <w:sz w:val="24"/>
                <w:szCs w:val="24"/>
                <w:lang w:eastAsia="zh-CN" w:bidi="ar"/>
              </w:rPr>
              <w:t>投标人公章（电子签章）</w:t>
            </w:r>
          </w:p>
        </w:tc>
        <w:tc>
          <w:tcPr>
            <w:tcW w:w="854"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cs="宋体"/>
                <w:color w:val="auto"/>
                <w:sz w:val="24"/>
                <w:szCs w:val="24"/>
              </w:rPr>
            </w:pPr>
          </w:p>
        </w:tc>
      </w:tr>
      <w:tr>
        <w:tblPrEx>
          <w:tblLayout w:type="fixed"/>
          <w:tblCellMar>
            <w:top w:w="15" w:type="dxa"/>
            <w:left w:w="15" w:type="dxa"/>
            <w:bottom w:w="15" w:type="dxa"/>
            <w:right w:w="15" w:type="dxa"/>
          </w:tblCellMar>
        </w:tblPrEx>
        <w:trPr>
          <w:trHeight w:val="271" w:hRule="atLeast"/>
        </w:trPr>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val="en-US" w:eastAsia="zh-CN" w:bidi="ar"/>
              </w:rPr>
              <w:t>4</w:t>
            </w:r>
          </w:p>
        </w:tc>
        <w:tc>
          <w:tcPr>
            <w:tcW w:w="3224"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cs="宋体"/>
                <w:color w:val="auto"/>
                <w:kern w:val="0"/>
                <w:sz w:val="24"/>
                <w:szCs w:val="24"/>
                <w:lang w:bidi="ar"/>
              </w:rPr>
            </w:pPr>
            <w:r>
              <w:rPr>
                <w:rFonts w:hint="eastAsia" w:ascii="宋体" w:hAnsi="宋体" w:cs="宋体"/>
                <w:bCs/>
                <w:color w:val="auto"/>
                <w:kern w:val="0"/>
                <w:sz w:val="24"/>
                <w:szCs w:val="24"/>
                <w:lang w:bidi="ar"/>
              </w:rPr>
              <w:t>信用记录</w:t>
            </w:r>
          </w:p>
        </w:tc>
        <w:tc>
          <w:tcPr>
            <w:tcW w:w="49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投标人未被“ 信用中国” 网站（www.creditchina.gov.cn）及中国政府采购网（www.ccgp.gov.cn）列入“失信被执行人”、“重大税收违法案件当事人名单”、“政府采购严重违法失信行为记录名单”且符合《中华人民共和国政府采购法》第二十二条的规定条件。</w:t>
            </w:r>
          </w:p>
        </w:tc>
        <w:tc>
          <w:tcPr>
            <w:tcW w:w="854"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cs="宋体"/>
                <w:color w:val="auto"/>
                <w:sz w:val="24"/>
                <w:szCs w:val="24"/>
              </w:rPr>
            </w:pPr>
          </w:p>
        </w:tc>
      </w:tr>
    </w:tbl>
    <w:p>
      <w:pPr>
        <w:pStyle w:val="24"/>
        <w:spacing w:line="560" w:lineRule="exact"/>
        <w:ind w:firstLine="482"/>
        <w:rPr>
          <w:rFonts w:hint="eastAsia" w:ascii="宋体" w:hAnsi="宋体" w:cs="仿宋"/>
          <w:b/>
          <w:color w:val="auto"/>
        </w:rPr>
      </w:pPr>
      <w:r>
        <w:rPr>
          <w:rFonts w:hint="eastAsia" w:ascii="宋体" w:hAnsi="宋体" w:cs="仿宋"/>
          <w:b/>
          <w:color w:val="auto"/>
        </w:rPr>
        <w:t>附表2</w:t>
      </w:r>
    </w:p>
    <w:tbl>
      <w:tblPr>
        <w:tblStyle w:val="31"/>
        <w:tblW w:w="9524" w:type="dxa"/>
        <w:tblInd w:w="0" w:type="dxa"/>
        <w:tblLayout w:type="fixed"/>
        <w:tblCellMar>
          <w:top w:w="15" w:type="dxa"/>
          <w:left w:w="15" w:type="dxa"/>
          <w:bottom w:w="15" w:type="dxa"/>
          <w:right w:w="15" w:type="dxa"/>
        </w:tblCellMar>
      </w:tblPr>
      <w:tblGrid>
        <w:gridCol w:w="1080"/>
        <w:gridCol w:w="7589"/>
        <w:gridCol w:w="855"/>
      </w:tblGrid>
      <w:tr>
        <w:tblPrEx>
          <w:tblLayout w:type="fixed"/>
          <w:tblCellMar>
            <w:top w:w="15" w:type="dxa"/>
            <w:left w:w="15" w:type="dxa"/>
            <w:bottom w:w="15" w:type="dxa"/>
            <w:right w:w="15" w:type="dxa"/>
          </w:tblCellMar>
        </w:tblPrEx>
        <w:trPr>
          <w:trHeight w:val="375" w:hRule="atLeast"/>
        </w:trPr>
        <w:tc>
          <w:tcPr>
            <w:tcW w:w="8669" w:type="dxa"/>
            <w:gridSpan w:val="2"/>
            <w:vAlign w:val="bottom"/>
          </w:tcPr>
          <w:p>
            <w:pPr>
              <w:widowControl/>
              <w:jc w:val="center"/>
              <w:textAlignment w:val="bottom"/>
              <w:rPr>
                <w:rFonts w:hint="eastAsia" w:ascii="宋体" w:hAnsi="宋体" w:cs="宋体"/>
                <w:color w:val="auto"/>
                <w:sz w:val="28"/>
                <w:szCs w:val="28"/>
              </w:rPr>
            </w:pPr>
            <w:r>
              <w:rPr>
                <w:rFonts w:hint="eastAsia" w:ascii="宋体" w:hAnsi="宋体" w:cs="宋体"/>
                <w:b/>
                <w:bCs/>
                <w:color w:val="auto"/>
                <w:kern w:val="0"/>
                <w:sz w:val="24"/>
                <w:szCs w:val="24"/>
                <w:lang w:bidi="ar"/>
              </w:rPr>
              <w:t>符合性审查表</w:t>
            </w:r>
          </w:p>
        </w:tc>
        <w:tc>
          <w:tcPr>
            <w:tcW w:w="855" w:type="dxa"/>
            <w:vAlign w:val="bottom"/>
          </w:tcPr>
          <w:p>
            <w:pPr>
              <w:rPr>
                <w:rFonts w:hint="eastAsia" w:ascii="宋体" w:hAnsi="宋体" w:cs="宋体"/>
                <w:color w:val="auto"/>
                <w:sz w:val="22"/>
                <w:szCs w:val="22"/>
              </w:rPr>
            </w:pPr>
          </w:p>
        </w:tc>
      </w:tr>
      <w:tr>
        <w:tblPrEx>
          <w:tblLayout w:type="fixed"/>
          <w:tblCellMar>
            <w:top w:w="15" w:type="dxa"/>
            <w:left w:w="15" w:type="dxa"/>
            <w:bottom w:w="15" w:type="dxa"/>
            <w:right w:w="15"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b/>
                <w:color w:val="auto"/>
                <w:sz w:val="24"/>
                <w:szCs w:val="24"/>
              </w:rPr>
            </w:pPr>
            <w:r>
              <w:rPr>
                <w:rFonts w:hint="eastAsia" w:ascii="宋体" w:hAnsi="宋体" w:cs="宋体"/>
                <w:b/>
                <w:color w:val="auto"/>
                <w:kern w:val="0"/>
                <w:sz w:val="24"/>
                <w:szCs w:val="24"/>
                <w:lang w:bidi="ar"/>
              </w:rPr>
              <w:t>序号</w:t>
            </w:r>
          </w:p>
        </w:tc>
        <w:tc>
          <w:tcPr>
            <w:tcW w:w="7589"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b/>
                <w:color w:val="auto"/>
                <w:sz w:val="24"/>
                <w:szCs w:val="24"/>
              </w:rPr>
            </w:pPr>
            <w:r>
              <w:rPr>
                <w:rFonts w:hint="eastAsia" w:ascii="宋体" w:hAnsi="宋体" w:cs="宋体"/>
                <w:b/>
                <w:color w:val="auto"/>
                <w:kern w:val="0"/>
                <w:sz w:val="24"/>
                <w:szCs w:val="24"/>
                <w:lang w:bidi="ar"/>
              </w:rPr>
              <w:t>检查项目</w:t>
            </w:r>
          </w:p>
        </w:tc>
        <w:tc>
          <w:tcPr>
            <w:tcW w:w="85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cs="宋体"/>
                <w:b/>
                <w:color w:val="auto"/>
                <w:sz w:val="24"/>
                <w:szCs w:val="24"/>
              </w:rPr>
            </w:pPr>
            <w:r>
              <w:rPr>
                <w:rFonts w:hint="eastAsia" w:ascii="宋体" w:hAnsi="宋体" w:cs="宋体"/>
                <w:b/>
                <w:color w:val="auto"/>
                <w:kern w:val="0"/>
                <w:sz w:val="24"/>
                <w:szCs w:val="24"/>
                <w:lang w:bidi="ar"/>
              </w:rPr>
              <w:t>结论</w:t>
            </w: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1</w:t>
            </w:r>
          </w:p>
        </w:tc>
        <w:tc>
          <w:tcPr>
            <w:tcW w:w="7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按照招标文件规定格式制作</w:t>
            </w:r>
            <w:r>
              <w:rPr>
                <w:rFonts w:hint="eastAsia" w:ascii="宋体" w:hAnsi="宋体" w:cs="宋体"/>
                <w:color w:val="auto"/>
                <w:kern w:val="0"/>
                <w:sz w:val="24"/>
                <w:szCs w:val="24"/>
                <w:lang w:eastAsia="zh-CN" w:bidi="ar"/>
              </w:rPr>
              <w:t>投标文件并</w:t>
            </w:r>
            <w:r>
              <w:rPr>
                <w:rFonts w:hint="eastAsia" w:ascii="宋体" w:hAnsi="宋体" w:cs="宋体"/>
                <w:color w:val="auto"/>
                <w:kern w:val="0"/>
                <w:sz w:val="24"/>
                <w:szCs w:val="24"/>
                <w:lang w:bidi="ar"/>
              </w:rPr>
              <w:t>盖章的</w:t>
            </w:r>
          </w:p>
        </w:tc>
        <w:tc>
          <w:tcPr>
            <w:tcW w:w="8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cs="宋体"/>
                <w:color w:val="auto"/>
                <w:sz w:val="24"/>
                <w:szCs w:val="24"/>
              </w:rPr>
            </w:pP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2</w:t>
            </w:r>
          </w:p>
        </w:tc>
        <w:tc>
          <w:tcPr>
            <w:tcW w:w="7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投标有效期满足招标文件要求的</w:t>
            </w:r>
          </w:p>
        </w:tc>
        <w:tc>
          <w:tcPr>
            <w:tcW w:w="8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cs="宋体"/>
                <w:color w:val="auto"/>
                <w:sz w:val="24"/>
                <w:szCs w:val="24"/>
              </w:rPr>
            </w:pP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3</w:t>
            </w:r>
          </w:p>
        </w:tc>
        <w:tc>
          <w:tcPr>
            <w:tcW w:w="7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投标文件</w:t>
            </w:r>
            <w:r>
              <w:rPr>
                <w:rFonts w:hint="eastAsia" w:ascii="宋体" w:hAnsi="宋体" w:cs="宋体"/>
                <w:color w:val="auto"/>
                <w:kern w:val="0"/>
                <w:sz w:val="24"/>
                <w:szCs w:val="24"/>
                <w:lang w:eastAsia="zh-CN" w:bidi="ar"/>
              </w:rPr>
              <w:t>实质性条款</w:t>
            </w:r>
            <w:r>
              <w:rPr>
                <w:rFonts w:hint="eastAsia" w:ascii="宋体" w:hAnsi="宋体" w:cs="宋体"/>
                <w:color w:val="auto"/>
                <w:kern w:val="0"/>
                <w:sz w:val="24"/>
                <w:szCs w:val="24"/>
                <w:lang w:bidi="ar"/>
              </w:rPr>
              <w:t>内容未出现不全或关键字迹模糊、无法辨认的</w:t>
            </w:r>
          </w:p>
        </w:tc>
        <w:tc>
          <w:tcPr>
            <w:tcW w:w="8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cs="宋体"/>
                <w:color w:val="auto"/>
                <w:sz w:val="24"/>
                <w:szCs w:val="24"/>
              </w:rPr>
            </w:pP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4</w:t>
            </w:r>
          </w:p>
        </w:tc>
        <w:tc>
          <w:tcPr>
            <w:tcW w:w="7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未以他人名义投标、串通投标，以行贿等手段谋取中标或者以其他弄虚作假的方式投标的</w:t>
            </w:r>
          </w:p>
        </w:tc>
        <w:tc>
          <w:tcPr>
            <w:tcW w:w="8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cs="宋体"/>
                <w:color w:val="auto"/>
                <w:sz w:val="24"/>
                <w:szCs w:val="24"/>
              </w:rPr>
            </w:pP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sz w:val="24"/>
                <w:szCs w:val="24"/>
              </w:rPr>
            </w:pPr>
            <w:r>
              <w:rPr>
                <w:rFonts w:hint="eastAsia" w:ascii="宋体" w:hAnsi="宋体" w:cs="宋体"/>
                <w:color w:val="auto"/>
                <w:kern w:val="0"/>
                <w:sz w:val="24"/>
                <w:szCs w:val="24"/>
                <w:lang w:bidi="ar"/>
              </w:rPr>
              <w:t>5</w:t>
            </w:r>
          </w:p>
        </w:tc>
        <w:tc>
          <w:tcPr>
            <w:tcW w:w="7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未出现选择性报价</w:t>
            </w:r>
          </w:p>
        </w:tc>
        <w:tc>
          <w:tcPr>
            <w:tcW w:w="8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cs="宋体"/>
                <w:color w:val="auto"/>
                <w:sz w:val="24"/>
                <w:szCs w:val="24"/>
              </w:rPr>
            </w:pPr>
          </w:p>
        </w:tc>
      </w:tr>
      <w:tr>
        <w:tblPrEx>
          <w:tblLayout w:type="fixed"/>
          <w:tblCellMar>
            <w:top w:w="15" w:type="dxa"/>
            <w:left w:w="15" w:type="dxa"/>
            <w:bottom w:w="15" w:type="dxa"/>
            <w:right w:w="15"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6</w:t>
            </w:r>
          </w:p>
        </w:tc>
        <w:tc>
          <w:tcPr>
            <w:tcW w:w="75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不存在招标文件规定的其它无效标的情形</w:t>
            </w:r>
          </w:p>
        </w:tc>
        <w:tc>
          <w:tcPr>
            <w:tcW w:w="855" w:type="dxa"/>
            <w:tcBorders>
              <w:top w:val="single" w:color="000000" w:sz="4" w:space="0"/>
              <w:left w:val="single" w:color="000000" w:sz="4" w:space="0"/>
              <w:bottom w:val="single" w:color="000000" w:sz="4" w:space="0"/>
              <w:right w:val="single" w:color="000000" w:sz="4" w:space="0"/>
            </w:tcBorders>
            <w:vAlign w:val="bottom"/>
          </w:tcPr>
          <w:p>
            <w:pPr>
              <w:rPr>
                <w:rFonts w:hint="eastAsia" w:ascii="宋体" w:hAnsi="宋体" w:cs="宋体"/>
                <w:color w:val="auto"/>
                <w:sz w:val="24"/>
                <w:szCs w:val="24"/>
              </w:rPr>
            </w:pPr>
          </w:p>
        </w:tc>
      </w:tr>
    </w:tbl>
    <w:p>
      <w:pPr>
        <w:numPr>
          <w:ilvl w:val="0"/>
          <w:numId w:val="22"/>
        </w:numPr>
        <w:spacing w:line="400" w:lineRule="exact"/>
        <w:rPr>
          <w:rFonts w:hint="eastAsia" w:ascii="宋体" w:hAnsi="宋体"/>
          <w:b/>
          <w:bCs/>
          <w:color w:val="auto"/>
          <w:sz w:val="24"/>
          <w:szCs w:val="24"/>
          <w:lang w:eastAsia="zh-CN"/>
        </w:rPr>
      </w:pPr>
      <w:r>
        <w:rPr>
          <w:rFonts w:hint="eastAsia" w:ascii="宋体" w:hAnsi="宋体"/>
          <w:b/>
          <w:bCs/>
          <w:color w:val="auto"/>
          <w:sz w:val="24"/>
          <w:szCs w:val="24"/>
          <w:lang w:eastAsia="zh-CN"/>
        </w:rPr>
        <w:t>评标标准</w:t>
      </w:r>
    </w:p>
    <w:p>
      <w:pPr>
        <w:numPr>
          <w:ilvl w:val="-1"/>
          <w:numId w:val="0"/>
        </w:numPr>
        <w:spacing w:line="400" w:lineRule="exact"/>
        <w:rPr>
          <w:rFonts w:ascii="宋体" w:hAnsi="宋体"/>
          <w:color w:val="auto"/>
          <w:sz w:val="24"/>
          <w:szCs w:val="24"/>
        </w:rPr>
      </w:pPr>
      <w:r>
        <w:rPr>
          <w:rFonts w:hint="eastAsia" w:ascii="宋体" w:hAnsi="宋体"/>
          <w:color w:val="auto"/>
          <w:sz w:val="24"/>
          <w:szCs w:val="24"/>
        </w:rPr>
        <w:t>1、评标方法：采用综合评分法，满分为</w:t>
      </w:r>
      <w:r>
        <w:rPr>
          <w:rFonts w:ascii="宋体" w:hAnsi="宋体"/>
          <w:color w:val="auto"/>
          <w:sz w:val="24"/>
          <w:szCs w:val="24"/>
        </w:rPr>
        <w:t>100</w:t>
      </w:r>
      <w:r>
        <w:rPr>
          <w:rFonts w:hint="eastAsia" w:ascii="宋体" w:hAnsi="宋体"/>
          <w:color w:val="auto"/>
          <w:sz w:val="24"/>
          <w:szCs w:val="24"/>
        </w:rPr>
        <w:t>分。</w:t>
      </w:r>
    </w:p>
    <w:p>
      <w:pPr>
        <w:spacing w:line="400" w:lineRule="exact"/>
        <w:rPr>
          <w:rFonts w:ascii="宋体" w:hAnsi="宋体"/>
          <w:color w:val="auto"/>
          <w:sz w:val="24"/>
          <w:szCs w:val="24"/>
        </w:rPr>
      </w:pPr>
      <w:r>
        <w:rPr>
          <w:rFonts w:hint="eastAsia" w:ascii="宋体" w:hAnsi="宋体"/>
          <w:color w:val="auto"/>
          <w:sz w:val="24"/>
          <w:szCs w:val="24"/>
        </w:rPr>
        <w:t>2、价格分采用低价优先法计算，即满足招标文件要求且投标价格最低的投标报价为评标基准价，其价格分为满分，其他投标人的价格分统一按下列公式计算：</w:t>
      </w:r>
    </w:p>
    <w:p>
      <w:pPr>
        <w:spacing w:line="400" w:lineRule="exact"/>
        <w:rPr>
          <w:rFonts w:ascii="宋体" w:hAnsi="宋体"/>
          <w:color w:val="auto"/>
          <w:sz w:val="24"/>
          <w:szCs w:val="24"/>
        </w:rPr>
      </w:pPr>
      <w:r>
        <w:rPr>
          <w:rFonts w:hint="eastAsia" w:ascii="宋体" w:hAnsi="宋体"/>
          <w:color w:val="auto"/>
          <w:sz w:val="24"/>
          <w:szCs w:val="24"/>
        </w:rPr>
        <w:t>投标报价得分=（评标基准价/投标报价）×价格权值×100。本次招标对小型和微型企业、监狱企业及残疾人福利性单位的投标报价给予10%的扣除，用扣除后报价进行评审。</w:t>
      </w:r>
    </w:p>
    <w:p>
      <w:pPr>
        <w:widowControl w:val="0"/>
        <w:adjustRightInd w:val="0"/>
        <w:spacing w:line="400" w:lineRule="exact"/>
        <w:jc w:val="left"/>
        <w:textAlignment w:val="baseline"/>
        <w:rPr>
          <w:rFonts w:ascii="宋体" w:hAnsi="宋体"/>
          <w:color w:val="auto"/>
          <w:sz w:val="24"/>
          <w:szCs w:val="24"/>
        </w:rPr>
      </w:pPr>
      <w:r>
        <w:rPr>
          <w:rFonts w:hint="eastAsia" w:ascii="宋体" w:hAnsi="宋体"/>
          <w:color w:val="auto"/>
          <w:sz w:val="24"/>
          <w:szCs w:val="24"/>
        </w:rPr>
        <w:t>3、最低报价不作为中标保证。</w:t>
      </w:r>
    </w:p>
    <w:p>
      <w:pPr>
        <w:widowControl/>
        <w:adjustRightInd/>
        <w:spacing w:line="400" w:lineRule="exact"/>
        <w:jc w:val="both"/>
        <w:textAlignment w:val="auto"/>
        <w:rPr>
          <w:rFonts w:ascii="宋体" w:hAnsi="宋体"/>
          <w:color w:val="auto"/>
          <w:sz w:val="24"/>
          <w:szCs w:val="24"/>
        </w:rPr>
      </w:pPr>
      <w:r>
        <w:rPr>
          <w:rFonts w:hint="eastAsia" w:ascii="宋体" w:hAnsi="宋体"/>
          <w:color w:val="auto"/>
          <w:sz w:val="24"/>
          <w:szCs w:val="24"/>
          <w:lang w:eastAsia="zh-CN"/>
        </w:rPr>
        <w:t>4</w:t>
      </w:r>
      <w:r>
        <w:rPr>
          <w:rFonts w:hint="eastAsia" w:ascii="宋体" w:hAnsi="宋体"/>
          <w:color w:val="auto"/>
          <w:sz w:val="24"/>
          <w:szCs w:val="24"/>
        </w:rPr>
        <w:t>、具体评标标准：</w:t>
      </w:r>
    </w:p>
    <w:tbl>
      <w:tblPr>
        <w:tblStyle w:val="31"/>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91"/>
        <w:gridCol w:w="739"/>
        <w:gridCol w:w="1276"/>
        <w:gridCol w:w="4535"/>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评审</w:t>
            </w:r>
          </w:p>
          <w:p>
            <w:pPr>
              <w:jc w:val="center"/>
              <w:rPr>
                <w:rFonts w:ascii="宋体" w:hAnsi="宋体" w:cs="宋体"/>
                <w:b/>
                <w:bCs/>
                <w:color w:val="auto"/>
                <w:kern w:val="0"/>
                <w:sz w:val="24"/>
                <w:szCs w:val="24"/>
              </w:rPr>
            </w:pPr>
            <w:r>
              <w:rPr>
                <w:rFonts w:hint="eastAsia" w:ascii="宋体" w:hAnsi="宋体" w:cs="宋体"/>
                <w:b/>
                <w:bCs/>
                <w:color w:val="auto"/>
                <w:kern w:val="0"/>
                <w:sz w:val="24"/>
                <w:szCs w:val="24"/>
              </w:rPr>
              <w:t>条款</w:t>
            </w:r>
          </w:p>
        </w:tc>
        <w:tc>
          <w:tcPr>
            <w:tcW w:w="7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分值</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评审细则</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评分标准</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单项</w:t>
            </w:r>
          </w:p>
          <w:p>
            <w:pPr>
              <w:jc w:val="center"/>
              <w:rPr>
                <w:rFonts w:ascii="宋体" w:hAnsi="宋体" w:cs="宋体"/>
                <w:b/>
                <w:bCs/>
                <w:color w:val="auto"/>
                <w:kern w:val="0"/>
                <w:sz w:val="24"/>
                <w:szCs w:val="24"/>
              </w:rPr>
            </w:pPr>
            <w:r>
              <w:rPr>
                <w:rFonts w:hint="eastAsia" w:ascii="宋体" w:hAnsi="宋体" w:cs="宋体"/>
                <w:b/>
                <w:bCs/>
                <w:color w:val="auto"/>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7" w:hRule="atLeast"/>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1</w:t>
            </w:r>
          </w:p>
        </w:tc>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价格</w:t>
            </w:r>
          </w:p>
        </w:tc>
        <w:tc>
          <w:tcPr>
            <w:tcW w:w="7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最低报价为基准价</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满足招标文件要求且投标价格最低的投标报价为评标基准价。投标报价得分</w:t>
            </w:r>
            <w:r>
              <w:rPr>
                <w:rFonts w:ascii="宋体" w:hAnsi="宋体" w:cs="宋体"/>
                <w:color w:val="auto"/>
                <w:kern w:val="0"/>
                <w:sz w:val="24"/>
                <w:szCs w:val="24"/>
              </w:rPr>
              <w:t>=</w:t>
            </w:r>
            <w:r>
              <w:rPr>
                <w:rFonts w:hint="eastAsia" w:ascii="宋体" w:hAnsi="宋体" w:cs="宋体"/>
                <w:color w:val="auto"/>
                <w:kern w:val="0"/>
                <w:sz w:val="24"/>
                <w:szCs w:val="24"/>
              </w:rPr>
              <w:t>（评标基准价</w:t>
            </w:r>
            <w:r>
              <w:rPr>
                <w:rFonts w:ascii="宋体" w:hAnsi="宋体" w:cs="宋体"/>
                <w:color w:val="auto"/>
                <w:kern w:val="0"/>
                <w:sz w:val="24"/>
                <w:szCs w:val="24"/>
              </w:rPr>
              <w:t>/</w:t>
            </w:r>
            <w:r>
              <w:rPr>
                <w:rFonts w:hint="eastAsia" w:ascii="宋体" w:hAnsi="宋体" w:cs="宋体"/>
                <w:color w:val="auto"/>
                <w:kern w:val="0"/>
                <w:sz w:val="24"/>
                <w:szCs w:val="24"/>
              </w:rPr>
              <w:t>投标报价）×价格权值×</w:t>
            </w:r>
            <w:r>
              <w:rPr>
                <w:rFonts w:ascii="宋体" w:hAnsi="宋体" w:cs="宋体"/>
                <w:color w:val="auto"/>
                <w:kern w:val="0"/>
                <w:sz w:val="24"/>
                <w:szCs w:val="24"/>
              </w:rPr>
              <w:t>100</w:t>
            </w:r>
          </w:p>
          <w:p>
            <w:pPr>
              <w:rPr>
                <w:rFonts w:ascii="宋体" w:hAnsi="宋体" w:cs="宋体"/>
                <w:color w:val="auto"/>
                <w:kern w:val="0"/>
                <w:sz w:val="24"/>
                <w:szCs w:val="24"/>
              </w:rPr>
            </w:pPr>
            <w:r>
              <w:rPr>
                <w:rFonts w:hint="eastAsia" w:ascii="宋体" w:hAnsi="宋体" w:cs="宋体"/>
                <w:color w:val="auto"/>
                <w:kern w:val="0"/>
                <w:sz w:val="24"/>
                <w:szCs w:val="24"/>
              </w:rPr>
              <w:t>本次招标</w:t>
            </w:r>
            <w:r>
              <w:rPr>
                <w:rFonts w:ascii="仿宋_GB2312"/>
                <w:color w:val="auto"/>
                <w:sz w:val="24"/>
                <w:szCs w:val="24"/>
              </w:rPr>
              <w:t>对小型和微型企业、监狱企业及残疾人福利性单位的</w:t>
            </w:r>
            <w:r>
              <w:rPr>
                <w:rFonts w:hint="eastAsia" w:ascii="仿宋_GB2312"/>
                <w:color w:val="auto"/>
                <w:sz w:val="24"/>
                <w:szCs w:val="24"/>
              </w:rPr>
              <w:t>投标</w:t>
            </w:r>
            <w:r>
              <w:rPr>
                <w:rFonts w:ascii="仿宋_GB2312"/>
                <w:color w:val="auto"/>
                <w:sz w:val="24"/>
                <w:szCs w:val="24"/>
              </w:rPr>
              <w:t>报价给予</w:t>
            </w:r>
            <w:r>
              <w:rPr>
                <w:rFonts w:hint="eastAsia" w:ascii="仿宋_GB2312"/>
                <w:color w:val="auto"/>
                <w:sz w:val="24"/>
                <w:szCs w:val="24"/>
              </w:rPr>
              <w:t>10</w:t>
            </w:r>
            <w:r>
              <w:rPr>
                <w:rFonts w:ascii="仿宋_GB2312"/>
                <w:color w:val="auto"/>
                <w:sz w:val="24"/>
                <w:szCs w:val="24"/>
              </w:rPr>
              <w:t>%的扣除</w:t>
            </w:r>
            <w:r>
              <w:rPr>
                <w:rFonts w:hint="eastAsia" w:ascii="仿宋_GB2312"/>
                <w:color w:val="auto"/>
                <w:sz w:val="24"/>
                <w:szCs w:val="24"/>
                <w:lang w:eastAsia="zh-CN"/>
              </w:rPr>
              <w:t>，用扣除后的价格参与评审</w:t>
            </w:r>
            <w:r>
              <w:rPr>
                <w:rFonts w:ascii="仿宋_GB2312"/>
                <w:color w:val="auto"/>
                <w:sz w:val="24"/>
                <w:szCs w:val="24"/>
              </w:rPr>
              <w:t>。</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trPr>
        <w:tc>
          <w:tcPr>
            <w:tcW w:w="70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2</w:t>
            </w:r>
          </w:p>
        </w:tc>
        <w:tc>
          <w:tcPr>
            <w:tcW w:w="791" w:type="dxa"/>
            <w:vMerge w:val="restart"/>
            <w:tcBorders>
              <w:top w:val="single" w:color="auto" w:sz="4" w:space="0"/>
              <w:left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技术性能指标及投标方案</w:t>
            </w:r>
          </w:p>
        </w:tc>
        <w:tc>
          <w:tcPr>
            <w:tcW w:w="739"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48</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主要技术参数</w:t>
            </w:r>
          </w:p>
        </w:tc>
        <w:tc>
          <w:tcPr>
            <w:tcW w:w="4535" w:type="dxa"/>
            <w:tcBorders>
              <w:top w:val="single" w:color="auto" w:sz="4" w:space="0"/>
              <w:left w:val="single" w:color="auto" w:sz="4" w:space="0"/>
              <w:right w:val="single" w:color="auto" w:sz="4" w:space="0"/>
            </w:tcBorders>
            <w:vAlign w:val="center"/>
          </w:tcPr>
          <w:p>
            <w:pPr>
              <w:widowControl/>
              <w:rPr>
                <w:rFonts w:hint="eastAsia" w:ascii="宋体" w:hAnsi="宋体" w:cs="宋体"/>
                <w:color w:val="auto"/>
                <w:kern w:val="0"/>
                <w:sz w:val="24"/>
                <w:szCs w:val="24"/>
              </w:rPr>
            </w:pPr>
            <w:r>
              <w:rPr>
                <w:rFonts w:hint="eastAsia" w:ascii="宋体" w:hAnsi="宋体" w:cs="宋体"/>
                <w:color w:val="auto"/>
                <w:kern w:val="0"/>
                <w:sz w:val="24"/>
                <w:szCs w:val="24"/>
              </w:rPr>
              <w:t>完全响应招标文件34分，#</w:t>
            </w:r>
            <w:r>
              <w:rPr>
                <w:rFonts w:hint="eastAsia" w:ascii="宋体" w:hAnsi="宋体" w:cs="宋体"/>
                <w:color w:val="auto"/>
                <w:kern w:val="0"/>
                <w:sz w:val="24"/>
                <w:szCs w:val="24"/>
                <w:lang w:eastAsia="zh-CN"/>
              </w:rPr>
              <w:t>项</w:t>
            </w:r>
            <w:r>
              <w:rPr>
                <w:rFonts w:hint="eastAsia" w:ascii="宋体" w:hAnsi="宋体" w:cs="宋体"/>
                <w:color w:val="auto"/>
                <w:kern w:val="0"/>
                <w:sz w:val="24"/>
                <w:szCs w:val="24"/>
              </w:rPr>
              <w:t>每出现1</w:t>
            </w:r>
            <w:r>
              <w:rPr>
                <w:rFonts w:hint="eastAsia" w:ascii="宋体" w:hAnsi="宋体"/>
                <w:bCs/>
                <w:color w:val="auto"/>
                <w:sz w:val="24"/>
                <w:szCs w:val="24"/>
                <w:lang w:val="zh-CN"/>
              </w:rPr>
              <w:t>项负偏离扣</w:t>
            </w:r>
            <w:r>
              <w:rPr>
                <w:rFonts w:ascii="宋体" w:hAnsi="宋体"/>
                <w:bCs/>
                <w:color w:val="auto"/>
                <w:sz w:val="24"/>
                <w:szCs w:val="24"/>
              </w:rPr>
              <w:t>3</w:t>
            </w:r>
            <w:r>
              <w:rPr>
                <w:rFonts w:hint="eastAsia" w:ascii="宋体" w:hAnsi="宋体"/>
                <w:bCs/>
                <w:color w:val="auto"/>
                <w:sz w:val="24"/>
                <w:szCs w:val="24"/>
                <w:lang w:val="zh-CN"/>
              </w:rPr>
              <w:t>分</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非</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项</w:t>
            </w:r>
            <w:r>
              <w:rPr>
                <w:rFonts w:hint="eastAsia" w:ascii="宋体" w:hAnsi="宋体" w:cs="宋体"/>
                <w:color w:val="auto"/>
                <w:kern w:val="0"/>
                <w:sz w:val="24"/>
                <w:szCs w:val="24"/>
              </w:rPr>
              <w:t>每出现1</w:t>
            </w:r>
            <w:r>
              <w:rPr>
                <w:rFonts w:hint="eastAsia" w:ascii="宋体" w:hAnsi="宋体"/>
                <w:bCs/>
                <w:color w:val="auto"/>
                <w:sz w:val="24"/>
                <w:szCs w:val="24"/>
                <w:lang w:val="zh-CN"/>
              </w:rPr>
              <w:t>项负偏离扣</w:t>
            </w:r>
            <w:r>
              <w:rPr>
                <w:rFonts w:hint="eastAsia" w:ascii="宋体" w:hAnsi="宋体"/>
                <w:bCs/>
                <w:color w:val="auto"/>
                <w:sz w:val="24"/>
                <w:szCs w:val="24"/>
                <w:lang w:val="en-US" w:eastAsia="zh-CN"/>
              </w:rPr>
              <w:t>1</w:t>
            </w:r>
            <w:r>
              <w:rPr>
                <w:rFonts w:hint="eastAsia" w:ascii="宋体" w:hAnsi="宋体"/>
                <w:bCs/>
                <w:color w:val="auto"/>
                <w:sz w:val="24"/>
                <w:szCs w:val="24"/>
                <w:lang w:val="zh-CN"/>
              </w:rPr>
              <w:t>分，</w:t>
            </w:r>
            <w:r>
              <w:rPr>
                <w:rFonts w:hint="eastAsia" w:ascii="宋体" w:hAnsi="宋体" w:cs="宋体"/>
                <w:color w:val="auto"/>
                <w:kern w:val="0"/>
                <w:sz w:val="24"/>
                <w:szCs w:val="24"/>
              </w:rPr>
              <w:t>扣完为止（单一产品负偏离不得超过10分）</w:t>
            </w:r>
          </w:p>
        </w:tc>
        <w:tc>
          <w:tcPr>
            <w:tcW w:w="877" w:type="dxa"/>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trPr>
        <w:tc>
          <w:tcPr>
            <w:tcW w:w="70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91"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39"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项目实施方案</w:t>
            </w:r>
          </w:p>
        </w:tc>
        <w:tc>
          <w:tcPr>
            <w:tcW w:w="453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 w:val="24"/>
                <w:szCs w:val="24"/>
              </w:rPr>
            </w:pPr>
            <w:r>
              <w:rPr>
                <w:rFonts w:ascii="宋体" w:hAnsi="宋体"/>
                <w:color w:val="auto"/>
                <w:sz w:val="24"/>
                <w:szCs w:val="24"/>
              </w:rPr>
              <w:t xml:space="preserve">项目实施方案内容详实，全面，具有进度计划，安全措施完备，人员配置合理，且有针对性和可行性。考察投标文件，酌情打分。 </w:t>
            </w:r>
          </w:p>
          <w:p>
            <w:pPr>
              <w:rPr>
                <w:rFonts w:ascii="宋体" w:hAnsi="宋体"/>
                <w:color w:val="auto"/>
                <w:sz w:val="24"/>
                <w:szCs w:val="24"/>
              </w:rPr>
            </w:pPr>
            <w:r>
              <w:rPr>
                <w:rFonts w:ascii="宋体" w:hAnsi="宋体"/>
                <w:color w:val="auto"/>
                <w:sz w:val="24"/>
                <w:szCs w:val="24"/>
              </w:rPr>
              <w:t xml:space="preserve">项目实施方案内容详实、全面，进度计划合理，安全措施完备，人员配置合理，针对性和可行性强得 7分； </w:t>
            </w:r>
          </w:p>
          <w:p>
            <w:pPr>
              <w:rPr>
                <w:rFonts w:ascii="宋体" w:hAnsi="宋体"/>
                <w:color w:val="auto"/>
                <w:sz w:val="24"/>
                <w:szCs w:val="24"/>
              </w:rPr>
            </w:pPr>
            <w:r>
              <w:rPr>
                <w:rFonts w:ascii="宋体" w:hAnsi="宋体"/>
                <w:color w:val="auto"/>
                <w:sz w:val="24"/>
                <w:szCs w:val="24"/>
              </w:rPr>
              <w:t xml:space="preserve">项目实施方案内容详实全面性一般，进度计划合理性一般，安全措施完备性一般，人员配置合理性一般，针对性和可行性一 般得 4 分； </w:t>
            </w:r>
          </w:p>
          <w:p>
            <w:pPr>
              <w:rPr>
                <w:rFonts w:ascii="宋体" w:hAnsi="宋体"/>
                <w:color w:val="auto"/>
                <w:sz w:val="24"/>
                <w:szCs w:val="24"/>
              </w:rPr>
            </w:pPr>
            <w:r>
              <w:rPr>
                <w:rFonts w:ascii="宋体" w:hAnsi="宋体"/>
                <w:color w:val="auto"/>
                <w:sz w:val="24"/>
                <w:szCs w:val="24"/>
              </w:rPr>
              <w:t>项目实施方案内容详实全面性差，进度计划合理性差，人员配置合理性差，安全措施完备性差，针对性和可行性差得 1 分；</w:t>
            </w:r>
          </w:p>
          <w:p>
            <w:pPr>
              <w:rPr>
                <w:rFonts w:ascii="宋体" w:hAnsi="宋体" w:cs="宋体"/>
                <w:color w:val="auto"/>
                <w:kern w:val="0"/>
                <w:sz w:val="24"/>
                <w:szCs w:val="24"/>
              </w:rPr>
            </w:pPr>
            <w:r>
              <w:rPr>
                <w:rFonts w:ascii="宋体" w:hAnsi="宋体"/>
                <w:color w:val="auto"/>
                <w:sz w:val="24"/>
                <w:szCs w:val="24"/>
              </w:rPr>
              <w:t>不提供方案不得分</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70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91"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3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培训方案</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auto"/>
                <w:sz w:val="24"/>
                <w:szCs w:val="24"/>
              </w:rPr>
            </w:pPr>
            <w:r>
              <w:rPr>
                <w:rFonts w:ascii="宋体" w:hAnsi="宋体"/>
                <w:color w:val="auto"/>
                <w:sz w:val="24"/>
                <w:szCs w:val="24"/>
              </w:rPr>
              <w:t xml:space="preserve">培训方案内容详实，全面，培训计划合理，且有针对性及可行性。考察投标文件，酌情打分 </w:t>
            </w:r>
          </w:p>
          <w:p>
            <w:pPr>
              <w:widowControl/>
              <w:rPr>
                <w:rFonts w:ascii="宋体" w:hAnsi="宋体"/>
                <w:color w:val="auto"/>
                <w:sz w:val="24"/>
                <w:szCs w:val="24"/>
              </w:rPr>
            </w:pPr>
            <w:r>
              <w:rPr>
                <w:rFonts w:ascii="宋体" w:hAnsi="宋体"/>
                <w:color w:val="auto"/>
                <w:sz w:val="24"/>
                <w:szCs w:val="24"/>
              </w:rPr>
              <w:t>培训方案内容详实、全面，培训计划合理，针对性和可行性强，得</w:t>
            </w:r>
            <w:r>
              <w:rPr>
                <w:rFonts w:hint="eastAsia" w:ascii="宋体" w:hAnsi="宋体"/>
                <w:color w:val="auto"/>
                <w:sz w:val="24"/>
                <w:szCs w:val="24"/>
              </w:rPr>
              <w:t>7</w:t>
            </w:r>
            <w:r>
              <w:rPr>
                <w:rFonts w:ascii="宋体" w:hAnsi="宋体"/>
                <w:color w:val="auto"/>
                <w:sz w:val="24"/>
                <w:szCs w:val="24"/>
              </w:rPr>
              <w:t>分；</w:t>
            </w:r>
          </w:p>
          <w:p>
            <w:pPr>
              <w:widowControl/>
              <w:rPr>
                <w:rFonts w:ascii="宋体" w:hAnsi="宋体"/>
                <w:color w:val="auto"/>
                <w:sz w:val="24"/>
                <w:szCs w:val="24"/>
              </w:rPr>
            </w:pPr>
            <w:r>
              <w:rPr>
                <w:rFonts w:ascii="宋体" w:hAnsi="宋体"/>
                <w:color w:val="auto"/>
                <w:sz w:val="24"/>
                <w:szCs w:val="24"/>
              </w:rPr>
              <w:t>培训方案内容全面详实性一般，培训计划合理性</w:t>
            </w:r>
            <w:r>
              <w:rPr>
                <w:rFonts w:hint="eastAsia" w:ascii="宋体" w:hAnsi="宋体"/>
                <w:color w:val="auto"/>
                <w:sz w:val="24"/>
                <w:szCs w:val="24"/>
              </w:rPr>
              <w:t>、</w:t>
            </w:r>
            <w:r>
              <w:rPr>
                <w:rFonts w:ascii="宋体" w:hAnsi="宋体"/>
                <w:color w:val="auto"/>
                <w:sz w:val="24"/>
                <w:szCs w:val="24"/>
              </w:rPr>
              <w:t>针对性和可行性一般，得</w:t>
            </w:r>
            <w:r>
              <w:rPr>
                <w:rFonts w:hint="eastAsia" w:ascii="宋体" w:hAnsi="宋体"/>
                <w:color w:val="auto"/>
                <w:sz w:val="24"/>
                <w:szCs w:val="24"/>
              </w:rPr>
              <w:t>4</w:t>
            </w:r>
            <w:r>
              <w:rPr>
                <w:rFonts w:ascii="宋体" w:hAnsi="宋体"/>
                <w:color w:val="auto"/>
                <w:sz w:val="24"/>
                <w:szCs w:val="24"/>
              </w:rPr>
              <w:t xml:space="preserve">分； </w:t>
            </w:r>
          </w:p>
          <w:p>
            <w:pPr>
              <w:widowControl/>
              <w:rPr>
                <w:rFonts w:ascii="宋体" w:hAnsi="宋体"/>
                <w:color w:val="auto"/>
                <w:sz w:val="24"/>
                <w:szCs w:val="24"/>
              </w:rPr>
            </w:pPr>
            <w:r>
              <w:rPr>
                <w:rFonts w:ascii="宋体" w:hAnsi="宋体"/>
                <w:color w:val="auto"/>
                <w:sz w:val="24"/>
                <w:szCs w:val="24"/>
              </w:rPr>
              <w:t>培训方案内容全面详实性差，培训计划合理性</w:t>
            </w:r>
            <w:r>
              <w:rPr>
                <w:rFonts w:hint="eastAsia" w:ascii="宋体" w:hAnsi="宋体"/>
                <w:color w:val="auto"/>
                <w:sz w:val="24"/>
                <w:szCs w:val="24"/>
              </w:rPr>
              <w:t>、</w:t>
            </w:r>
            <w:r>
              <w:rPr>
                <w:rFonts w:ascii="宋体" w:hAnsi="宋体"/>
                <w:color w:val="auto"/>
                <w:sz w:val="24"/>
                <w:szCs w:val="24"/>
              </w:rPr>
              <w:t xml:space="preserve">培训针对性和可行性差，得1分； </w:t>
            </w:r>
          </w:p>
          <w:p>
            <w:pPr>
              <w:rPr>
                <w:rFonts w:ascii="宋体" w:hAnsi="宋体"/>
                <w:color w:val="auto"/>
                <w:sz w:val="24"/>
                <w:szCs w:val="24"/>
              </w:rPr>
            </w:pPr>
            <w:r>
              <w:rPr>
                <w:rFonts w:ascii="宋体" w:hAnsi="宋体"/>
                <w:color w:val="auto"/>
                <w:sz w:val="24"/>
                <w:szCs w:val="24"/>
              </w:rPr>
              <w:t>不提供方案不得分</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3</w:t>
            </w:r>
          </w:p>
        </w:tc>
        <w:tc>
          <w:tcPr>
            <w:tcW w:w="79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售后服务</w:t>
            </w:r>
          </w:p>
        </w:tc>
        <w:tc>
          <w:tcPr>
            <w:tcW w:w="73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6</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产品保修期限</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完全响应招标文件要求（台式计算机需提供原厂质保</w:t>
            </w:r>
            <w:r>
              <w:rPr>
                <w:rFonts w:hint="eastAsia" w:ascii="宋体" w:hAnsi="宋体" w:cs="宋体"/>
                <w:color w:val="auto"/>
                <w:kern w:val="0"/>
                <w:sz w:val="24"/>
                <w:szCs w:val="24"/>
                <w:lang w:eastAsia="zh-CN"/>
              </w:rPr>
              <w:t>不少于</w:t>
            </w:r>
            <w:r>
              <w:rPr>
                <w:rFonts w:hint="eastAsia" w:ascii="宋体" w:hAnsi="宋体" w:cs="宋体"/>
                <w:color w:val="auto"/>
                <w:kern w:val="0"/>
                <w:sz w:val="24"/>
                <w:szCs w:val="24"/>
              </w:rPr>
              <w:t>三年）。</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整体项目提供免费保修期更优承诺的，在三年基础上每增加一年加2分,加满6分为止。台式机需提供原厂售后服务承诺函加盖原厂公章。</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4"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7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售后服务</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auto"/>
                <w:sz w:val="24"/>
                <w:szCs w:val="24"/>
              </w:rPr>
            </w:pPr>
            <w:r>
              <w:rPr>
                <w:rFonts w:ascii="宋体" w:hAnsi="宋体"/>
                <w:color w:val="auto"/>
                <w:sz w:val="24"/>
                <w:szCs w:val="24"/>
              </w:rPr>
              <w:t>售后服务内容全面细致、体系完善、服务机构覆盖范围合理、服务能力强、技术支持保障措施到位，得</w:t>
            </w:r>
            <w:r>
              <w:rPr>
                <w:rFonts w:hint="eastAsia" w:ascii="宋体" w:hAnsi="宋体"/>
                <w:color w:val="auto"/>
                <w:sz w:val="24"/>
                <w:szCs w:val="24"/>
              </w:rPr>
              <w:t>8</w:t>
            </w:r>
            <w:r>
              <w:rPr>
                <w:rFonts w:ascii="宋体" w:hAnsi="宋体"/>
                <w:color w:val="auto"/>
                <w:sz w:val="24"/>
                <w:szCs w:val="24"/>
              </w:rPr>
              <w:t xml:space="preserve">分； </w:t>
            </w:r>
          </w:p>
          <w:p>
            <w:pPr>
              <w:widowControl/>
              <w:rPr>
                <w:rFonts w:ascii="宋体" w:hAnsi="宋体"/>
                <w:color w:val="auto"/>
                <w:sz w:val="24"/>
                <w:szCs w:val="24"/>
              </w:rPr>
            </w:pPr>
            <w:r>
              <w:rPr>
                <w:rFonts w:ascii="宋体" w:hAnsi="宋体"/>
                <w:color w:val="auto"/>
                <w:sz w:val="24"/>
                <w:szCs w:val="24"/>
              </w:rPr>
              <w:t>售后服务内容全面细致性一般、服务体系完善性一般、服务机构覆盖范围较合理、服务能力一般、技术支持保障措施一般，得</w:t>
            </w:r>
            <w:r>
              <w:rPr>
                <w:rFonts w:hint="eastAsia" w:ascii="宋体" w:hAnsi="宋体"/>
                <w:color w:val="auto"/>
                <w:sz w:val="24"/>
                <w:szCs w:val="24"/>
              </w:rPr>
              <w:t>5</w:t>
            </w:r>
            <w:r>
              <w:rPr>
                <w:rFonts w:ascii="宋体" w:hAnsi="宋体"/>
                <w:color w:val="auto"/>
                <w:sz w:val="24"/>
                <w:szCs w:val="24"/>
              </w:rPr>
              <w:t xml:space="preserve">分； </w:t>
            </w:r>
          </w:p>
          <w:p>
            <w:pPr>
              <w:widowControl/>
              <w:rPr>
                <w:rFonts w:ascii="宋体" w:hAnsi="宋体"/>
                <w:color w:val="auto"/>
                <w:sz w:val="24"/>
                <w:szCs w:val="24"/>
              </w:rPr>
            </w:pPr>
            <w:r>
              <w:rPr>
                <w:rFonts w:ascii="宋体" w:hAnsi="宋体"/>
                <w:color w:val="auto"/>
                <w:sz w:val="24"/>
                <w:szCs w:val="24"/>
              </w:rPr>
              <w:t>售后服务内容全面细致性差、服务体系完善性差、服务机构覆盖范围差、服务能力差、技术支持保障到位措施差，</w:t>
            </w:r>
            <w:r>
              <w:rPr>
                <w:rFonts w:hint="eastAsia" w:ascii="宋体" w:hAnsi="宋体"/>
                <w:color w:val="auto"/>
                <w:sz w:val="24"/>
                <w:szCs w:val="24"/>
              </w:rPr>
              <w:t>得2</w:t>
            </w:r>
            <w:r>
              <w:rPr>
                <w:rFonts w:ascii="宋体" w:hAnsi="宋体"/>
                <w:color w:val="auto"/>
                <w:sz w:val="24"/>
                <w:szCs w:val="24"/>
              </w:rPr>
              <w:t>分；</w:t>
            </w:r>
          </w:p>
          <w:p>
            <w:pPr>
              <w:widowControl/>
              <w:rPr>
                <w:rFonts w:ascii="宋体" w:hAnsi="宋体"/>
                <w:color w:val="auto"/>
                <w:sz w:val="24"/>
                <w:szCs w:val="24"/>
              </w:rPr>
            </w:pPr>
            <w:r>
              <w:rPr>
                <w:rFonts w:ascii="宋体" w:hAnsi="宋体"/>
                <w:color w:val="auto"/>
                <w:sz w:val="24"/>
                <w:szCs w:val="24"/>
              </w:rPr>
              <w:t>不提供不得分。</w:t>
            </w:r>
          </w:p>
        </w:tc>
        <w:tc>
          <w:tcPr>
            <w:tcW w:w="87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704" w:type="dxa"/>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91" w:type="dxa"/>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投标人业绩</w:t>
            </w:r>
          </w:p>
        </w:tc>
        <w:tc>
          <w:tcPr>
            <w:tcW w:w="739" w:type="dxa"/>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1276" w:type="dxa"/>
            <w:tcBorders>
              <w:top w:val="single" w:color="auto" w:sz="4" w:space="0"/>
              <w:left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投标人业绩</w:t>
            </w:r>
          </w:p>
        </w:tc>
        <w:tc>
          <w:tcPr>
            <w:tcW w:w="4535" w:type="dxa"/>
            <w:tcBorders>
              <w:top w:val="single" w:color="auto" w:sz="4" w:space="0"/>
              <w:left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提供</w:t>
            </w:r>
            <w:r>
              <w:rPr>
                <w:rFonts w:ascii="宋体" w:hAnsi="宋体" w:cs="宋体"/>
                <w:color w:val="auto"/>
                <w:kern w:val="0"/>
                <w:sz w:val="24"/>
                <w:szCs w:val="24"/>
              </w:rPr>
              <w:t>2021</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月</w:t>
            </w:r>
            <w:r>
              <w:rPr>
                <w:rFonts w:ascii="宋体" w:hAnsi="宋体" w:cs="宋体"/>
                <w:color w:val="auto"/>
                <w:kern w:val="0"/>
                <w:sz w:val="24"/>
                <w:szCs w:val="24"/>
              </w:rPr>
              <w:t>1</w:t>
            </w:r>
            <w:r>
              <w:rPr>
                <w:rFonts w:hint="eastAsia" w:ascii="宋体" w:hAnsi="宋体" w:cs="宋体"/>
                <w:color w:val="auto"/>
                <w:kern w:val="0"/>
                <w:sz w:val="24"/>
                <w:szCs w:val="24"/>
              </w:rPr>
              <w:t>日后相关合同（有效复印件），每提供</w:t>
            </w:r>
            <w:r>
              <w:rPr>
                <w:rFonts w:ascii="宋体" w:hAnsi="宋体" w:cs="宋体"/>
                <w:color w:val="auto"/>
                <w:kern w:val="0"/>
                <w:sz w:val="24"/>
                <w:szCs w:val="24"/>
              </w:rPr>
              <w:t>1</w:t>
            </w:r>
            <w:r>
              <w:rPr>
                <w:rFonts w:hint="eastAsia" w:ascii="宋体" w:hAnsi="宋体" w:cs="宋体"/>
                <w:color w:val="auto"/>
                <w:kern w:val="0"/>
                <w:sz w:val="24"/>
                <w:szCs w:val="24"/>
              </w:rPr>
              <w:t>份得1分，最多得</w:t>
            </w:r>
            <w:r>
              <w:rPr>
                <w:rFonts w:ascii="宋体" w:hAnsi="宋体" w:cs="宋体"/>
                <w:color w:val="auto"/>
                <w:kern w:val="0"/>
                <w:sz w:val="24"/>
                <w:szCs w:val="24"/>
              </w:rPr>
              <w:t>4</w:t>
            </w:r>
            <w:r>
              <w:rPr>
                <w:rFonts w:hint="eastAsia" w:ascii="宋体" w:hAnsi="宋体" w:cs="宋体"/>
                <w:color w:val="auto"/>
                <w:kern w:val="0"/>
                <w:sz w:val="24"/>
                <w:szCs w:val="24"/>
              </w:rPr>
              <w:t>分。需提供合同首页、合同金额关键页、合同盖章页、合同清单页并加盖投标人行政公章。</w:t>
            </w:r>
          </w:p>
        </w:tc>
        <w:tc>
          <w:tcPr>
            <w:tcW w:w="8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kern w:val="0"/>
                <w:sz w:val="24"/>
                <w:szCs w:val="24"/>
              </w:rPr>
            </w:pPr>
            <w:r>
              <w:rPr>
                <w:rFonts w:hint="eastAsia" w:ascii="宋体" w:hAnsi="宋体" w:cs="宋体"/>
                <w:color w:val="auto"/>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91"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节能环保</w:t>
            </w:r>
          </w:p>
        </w:tc>
        <w:tc>
          <w:tcPr>
            <w:tcW w:w="739"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节能</w:t>
            </w:r>
          </w:p>
        </w:tc>
        <w:tc>
          <w:tcPr>
            <w:tcW w:w="4535" w:type="dxa"/>
            <w:tcBorders>
              <w:top w:val="single" w:color="auto" w:sz="4" w:space="0"/>
              <w:left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提供财库【2019】19号文件“节能产品政府采购品目的清单”中非★标志的投标产品依据国家确定的认证机构出具的、处于有效期之内的节能产品认证证书复印件并加盖投标人公章的，每提供1个得1分，最多得1分</w:t>
            </w:r>
          </w:p>
        </w:tc>
        <w:tc>
          <w:tcPr>
            <w:tcW w:w="877" w:type="dxa"/>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70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szCs w:val="24"/>
              </w:rPr>
            </w:pPr>
          </w:p>
        </w:tc>
        <w:tc>
          <w:tcPr>
            <w:tcW w:w="791"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szCs w:val="24"/>
              </w:rPr>
            </w:pPr>
          </w:p>
        </w:tc>
        <w:tc>
          <w:tcPr>
            <w:tcW w:w="739"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环保</w:t>
            </w:r>
          </w:p>
        </w:tc>
        <w:tc>
          <w:tcPr>
            <w:tcW w:w="4535" w:type="dxa"/>
            <w:tcBorders>
              <w:top w:val="single" w:color="auto" w:sz="4" w:space="0"/>
              <w:left w:val="single" w:color="auto" w:sz="4" w:space="0"/>
              <w:right w:val="single" w:color="auto" w:sz="4" w:space="0"/>
            </w:tcBorders>
            <w:vAlign w:val="center"/>
          </w:tcPr>
          <w:p>
            <w:pPr>
              <w:widowControl/>
              <w:rPr>
                <w:rFonts w:ascii="宋体" w:hAnsi="宋体" w:cs="宋体"/>
                <w:color w:val="auto"/>
                <w:kern w:val="0"/>
                <w:sz w:val="24"/>
                <w:szCs w:val="24"/>
              </w:rPr>
            </w:pPr>
            <w:r>
              <w:rPr>
                <w:rFonts w:hint="eastAsia" w:ascii="宋体" w:hAnsi="宋体" w:cs="宋体"/>
                <w:color w:val="auto"/>
                <w:kern w:val="0"/>
                <w:sz w:val="24"/>
                <w:szCs w:val="24"/>
              </w:rPr>
              <w:t>提供财库【2019】18号文件“环境标志产品政府采购品目清单”中的投标产品依据国家确定的认证机构出具的、处于有效期之内的环境标志产品认证证书复印件并加盖投标人公章的，每提供1个得1分，最多得1分</w:t>
            </w:r>
          </w:p>
        </w:tc>
        <w:tc>
          <w:tcPr>
            <w:tcW w:w="877" w:type="dxa"/>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495" w:type="dxa"/>
            <w:gridSpan w:val="2"/>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合计</w:t>
            </w:r>
          </w:p>
        </w:tc>
        <w:tc>
          <w:tcPr>
            <w:tcW w:w="739" w:type="dxa"/>
            <w:tcBorders>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szCs w:val="24"/>
              </w:rPr>
            </w:pPr>
            <w:r>
              <w:rPr>
                <w:rFonts w:ascii="宋体" w:hAnsi="宋体" w:cs="宋体"/>
                <w:color w:val="auto"/>
                <w:kern w:val="0"/>
                <w:sz w:val="24"/>
                <w:szCs w:val="24"/>
              </w:rPr>
              <w:t>100</w:t>
            </w:r>
          </w:p>
        </w:tc>
        <w:tc>
          <w:tcPr>
            <w:tcW w:w="6688" w:type="dxa"/>
            <w:gridSpan w:val="3"/>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szCs w:val="24"/>
              </w:rPr>
            </w:pPr>
          </w:p>
        </w:tc>
      </w:tr>
    </w:tbl>
    <w:p>
      <w:pPr>
        <w:widowControl/>
        <w:adjustRightInd/>
        <w:spacing w:line="400" w:lineRule="exact"/>
        <w:jc w:val="both"/>
        <w:textAlignment w:val="auto"/>
        <w:rPr>
          <w:rFonts w:ascii="宋体" w:hAnsi="宋体"/>
          <w:color w:val="auto"/>
          <w:sz w:val="24"/>
          <w:szCs w:val="24"/>
        </w:rPr>
      </w:pPr>
    </w:p>
    <w:p>
      <w:pPr>
        <w:pStyle w:val="2"/>
        <w:rPr>
          <w:rFonts w:ascii="宋体" w:hAnsi="宋体"/>
          <w:color w:val="auto"/>
          <w:sz w:val="24"/>
          <w:szCs w:val="24"/>
        </w:rPr>
      </w:pPr>
    </w:p>
    <w:p>
      <w:pPr>
        <w:pStyle w:val="2"/>
        <w:rPr>
          <w:rFonts w:ascii="宋体" w:hAnsi="宋体"/>
          <w:color w:val="auto"/>
          <w:sz w:val="24"/>
          <w:szCs w:val="24"/>
        </w:rPr>
      </w:pPr>
    </w:p>
    <w:p>
      <w:pPr>
        <w:pStyle w:val="2"/>
        <w:rPr>
          <w:rFonts w:ascii="宋体" w:hAnsi="宋体"/>
          <w:color w:val="auto"/>
          <w:sz w:val="24"/>
          <w:szCs w:val="24"/>
        </w:rPr>
      </w:pPr>
    </w:p>
    <w:p>
      <w:pPr>
        <w:pStyle w:val="2"/>
        <w:rPr>
          <w:rFonts w:ascii="宋体" w:hAnsi="宋体"/>
          <w:color w:val="auto"/>
          <w:sz w:val="24"/>
          <w:szCs w:val="24"/>
        </w:rPr>
      </w:pPr>
    </w:p>
    <w:p>
      <w:pPr>
        <w:pStyle w:val="2"/>
        <w:rPr>
          <w:rFonts w:ascii="宋体" w:hAnsi="宋体"/>
          <w:color w:val="auto"/>
          <w:sz w:val="24"/>
          <w:szCs w:val="24"/>
        </w:rPr>
      </w:pPr>
    </w:p>
    <w:p>
      <w:pPr>
        <w:pStyle w:val="2"/>
        <w:rPr>
          <w:rFonts w:ascii="宋体" w:hAnsi="宋体"/>
          <w:color w:val="auto"/>
          <w:sz w:val="24"/>
          <w:szCs w:val="24"/>
        </w:rPr>
      </w:pPr>
    </w:p>
    <w:p>
      <w:pPr>
        <w:pStyle w:val="2"/>
        <w:rPr>
          <w:rFonts w:ascii="宋体" w:hAnsi="宋体"/>
          <w:color w:val="auto"/>
          <w:sz w:val="24"/>
          <w:szCs w:val="24"/>
        </w:rPr>
      </w:pPr>
    </w:p>
    <w:p>
      <w:pPr>
        <w:pStyle w:val="2"/>
        <w:rPr>
          <w:rFonts w:ascii="宋体" w:hAnsi="宋体"/>
          <w:color w:val="auto"/>
          <w:sz w:val="24"/>
          <w:szCs w:val="24"/>
        </w:rPr>
      </w:pPr>
    </w:p>
    <w:p>
      <w:pPr>
        <w:pStyle w:val="2"/>
        <w:rPr>
          <w:rFonts w:ascii="宋体" w:hAnsi="宋体"/>
          <w:color w:val="auto"/>
          <w:sz w:val="24"/>
          <w:szCs w:val="24"/>
        </w:rPr>
      </w:pPr>
    </w:p>
    <w:p>
      <w:pPr>
        <w:pStyle w:val="2"/>
        <w:rPr>
          <w:rFonts w:ascii="宋体" w:hAnsi="宋体"/>
          <w:color w:val="auto"/>
          <w:sz w:val="24"/>
          <w:szCs w:val="24"/>
        </w:rPr>
      </w:pPr>
    </w:p>
    <w:p>
      <w:pPr>
        <w:pStyle w:val="2"/>
        <w:rPr>
          <w:rFonts w:ascii="宋体" w:hAnsi="宋体"/>
          <w:color w:val="auto"/>
          <w:sz w:val="24"/>
          <w:szCs w:val="24"/>
        </w:rPr>
      </w:pPr>
    </w:p>
    <w:p>
      <w:pPr>
        <w:pStyle w:val="48"/>
        <w:snapToGrid w:val="0"/>
        <w:spacing w:before="0" w:after="0"/>
        <w:ind w:left="0"/>
        <w:rPr>
          <w:rFonts w:ascii="宋体" w:hAnsi="宋体"/>
          <w:color w:val="auto"/>
          <w:szCs w:val="28"/>
        </w:rPr>
      </w:pPr>
      <w:bookmarkStart w:id="63" w:name="_Toc328816004"/>
      <w:bookmarkStart w:id="64" w:name="_Toc466015315"/>
      <w:bookmarkStart w:id="65" w:name="_Toc23703"/>
      <w:bookmarkStart w:id="66" w:name="_Toc186274124"/>
      <w:bookmarkStart w:id="67" w:name="_Toc174185201"/>
      <w:r>
        <w:rPr>
          <w:rFonts w:hint="eastAsia" w:ascii="宋体" w:hAnsi="宋体"/>
          <w:color w:val="auto"/>
        </w:rPr>
        <w:t>政府采购合同</w:t>
      </w:r>
      <w:bookmarkEnd w:id="63"/>
      <w:bookmarkEnd w:id="64"/>
      <w:bookmarkEnd w:id="65"/>
    </w:p>
    <w:p>
      <w:pPr>
        <w:pStyle w:val="5"/>
        <w:tabs>
          <w:tab w:val="left" w:pos="900"/>
          <w:tab w:val="clear" w:pos="1260"/>
        </w:tabs>
        <w:spacing w:before="0" w:after="0" w:line="480" w:lineRule="exact"/>
        <w:ind w:left="720" w:hanging="720"/>
        <w:jc w:val="center"/>
        <w:rPr>
          <w:rFonts w:hint="eastAsia" w:ascii="宋体" w:hAnsi="宋体" w:cs="宋体"/>
          <w:b/>
          <w:color w:val="auto"/>
          <w:sz w:val="21"/>
          <w:szCs w:val="21"/>
        </w:rPr>
      </w:pPr>
      <w:bookmarkStart w:id="68" w:name="_Toc15708"/>
      <w:bookmarkStart w:id="69" w:name="_Toc86202632"/>
    </w:p>
    <w:p>
      <w:pPr>
        <w:ind w:left="570" w:firstLine="705"/>
        <w:rPr>
          <w:rFonts w:hint="eastAsia" w:ascii="宋体" w:hAnsi="宋体"/>
          <w:b/>
          <w:bCs/>
          <w:sz w:val="44"/>
        </w:rPr>
      </w:pPr>
      <w:r>
        <w:rPr>
          <w:rFonts w:hint="eastAsia" w:ascii="宋体" w:hAnsi="宋体"/>
          <w:color w:val="auto"/>
          <w:kern w:val="44"/>
          <w:sz w:val="28"/>
          <w:szCs w:val="28"/>
        </w:rPr>
        <w:t xml:space="preserve">             </w:t>
      </w:r>
      <w:r>
        <w:rPr>
          <w:rFonts w:hint="eastAsia" w:ascii="宋体" w:hAnsi="宋体"/>
          <w:b/>
          <w:bCs/>
          <w:sz w:val="44"/>
        </w:rPr>
        <w:t>政府采购合同（货物类）</w:t>
      </w:r>
    </w:p>
    <w:p>
      <w:pPr>
        <w:ind w:left="570" w:firstLine="705"/>
        <w:rPr>
          <w:rFonts w:hint="eastAsia" w:ascii="宋体" w:hAnsi="宋体"/>
        </w:rPr>
      </w:pPr>
    </w:p>
    <w:p>
      <w:pPr>
        <w:ind w:left="570" w:firstLine="705"/>
        <w:rPr>
          <w:rFonts w:hint="eastAsia" w:ascii="宋体" w:hAnsi="宋体"/>
        </w:rPr>
      </w:pPr>
      <w:r>
        <w:rPr>
          <w:rFonts w:hint="eastAsia" w:ascii="宋体" w:hAnsi="宋体"/>
        </w:rPr>
        <w:t xml:space="preserve">                                             </w:t>
      </w:r>
    </w:p>
    <w:p>
      <w:pPr>
        <w:ind w:left="6787" w:leftChars="-200" w:hanging="7267" w:hangingChars="3028"/>
        <w:jc w:val="right"/>
        <w:rPr>
          <w:rFonts w:hint="eastAsia" w:ascii="宋体" w:hAnsi="宋体"/>
          <w:sz w:val="28"/>
          <w:szCs w:val="28"/>
        </w:rPr>
      </w:pPr>
      <w:r>
        <w:rPr>
          <w:rFonts w:hint="eastAsia" w:ascii="宋体" w:hAnsi="宋体"/>
        </w:rPr>
        <w:t xml:space="preserve">                                                            </w:t>
      </w:r>
      <w:r>
        <w:rPr>
          <w:rFonts w:hint="eastAsia" w:ascii="宋体" w:hAnsi="宋体"/>
          <w:sz w:val="28"/>
          <w:szCs w:val="28"/>
        </w:rPr>
        <w:t>采购中心已备案</w:t>
      </w:r>
      <w:r>
        <w:rPr>
          <w:rFonts w:hint="eastAsia" w:ascii="宋体" w:hAnsi="宋体"/>
        </w:rPr>
        <w:t xml:space="preserve">                                                     </w:t>
      </w:r>
      <w:r>
        <w:rPr>
          <w:rFonts w:hint="eastAsia" w:ascii="宋体" w:hAnsi="宋体"/>
          <w:sz w:val="28"/>
          <w:szCs w:val="28"/>
        </w:rPr>
        <w:t>年  月</w:t>
      </w:r>
      <w:r>
        <w:rPr>
          <w:rFonts w:hint="eastAsia" w:ascii="宋体" w:hAnsi="宋体"/>
          <w:color w:val="FF0000"/>
          <w:sz w:val="28"/>
          <w:szCs w:val="28"/>
        </w:rPr>
        <w:t xml:space="preserve">  </w:t>
      </w:r>
      <w:r>
        <w:rPr>
          <w:rFonts w:hint="eastAsia" w:ascii="宋体" w:hAnsi="宋体"/>
          <w:sz w:val="28"/>
          <w:szCs w:val="28"/>
        </w:rPr>
        <w:t>日</w:t>
      </w:r>
    </w:p>
    <w:p>
      <w:pPr>
        <w:rPr>
          <w:rFonts w:hint="eastAsia" w:ascii="宋体" w:hAnsi="宋体"/>
        </w:rPr>
      </w:pPr>
    </w:p>
    <w:p>
      <w:pPr>
        <w:rPr>
          <w:rFonts w:hint="eastAsia" w:ascii="宋体" w:hAnsi="宋体"/>
          <w:sz w:val="30"/>
        </w:rPr>
      </w:pPr>
    </w:p>
    <w:p>
      <w:pPr>
        <w:rPr>
          <w:rFonts w:hint="eastAsia" w:ascii="宋体" w:hAnsi="宋体"/>
          <w:sz w:val="30"/>
          <w:szCs w:val="30"/>
        </w:rPr>
      </w:pPr>
      <w:r>
        <w:rPr>
          <w:rFonts w:hint="eastAsia" w:ascii="宋体" w:hAnsi="宋体"/>
          <w:sz w:val="30"/>
        </w:rPr>
        <w:t>项目编号</w:t>
      </w:r>
      <w:r>
        <w:rPr>
          <w:rFonts w:hint="eastAsia" w:ascii="宋体" w:hAnsi="宋体"/>
          <w:sz w:val="30"/>
          <w:szCs w:val="30"/>
        </w:rPr>
        <w:t>：</w:t>
      </w:r>
      <w:r>
        <w:rPr>
          <w:rFonts w:hint="eastAsia" w:ascii="宋体" w:hAnsi="宋体"/>
          <w:sz w:val="30"/>
          <w:szCs w:val="30"/>
          <w:u w:val="single"/>
        </w:rPr>
        <w:t xml:space="preserve">                        </w:t>
      </w:r>
    </w:p>
    <w:p>
      <w:pPr>
        <w:rPr>
          <w:rFonts w:hint="eastAsia" w:ascii="宋体" w:hAnsi="宋体" w:cs="宋体"/>
          <w:bCs/>
          <w:sz w:val="30"/>
          <w:szCs w:val="30"/>
        </w:rPr>
      </w:pPr>
      <w:r>
        <w:rPr>
          <w:rFonts w:hint="eastAsia" w:ascii="宋体" w:hAnsi="宋体"/>
          <w:sz w:val="30"/>
          <w:szCs w:val="30"/>
        </w:rPr>
        <w:t>合同编号：</w:t>
      </w:r>
      <w:r>
        <w:rPr>
          <w:rFonts w:hint="eastAsia" w:ascii="宋体" w:hAnsi="宋体"/>
          <w:sz w:val="30"/>
          <w:szCs w:val="30"/>
          <w:u w:val="single"/>
        </w:rPr>
        <w:t xml:space="preserve">                        </w:t>
      </w:r>
    </w:p>
    <w:p>
      <w:pPr>
        <w:ind w:left="1500" w:hanging="1500" w:hangingChars="500"/>
        <w:rPr>
          <w:rFonts w:hint="eastAsia" w:ascii="宋体" w:hAnsi="宋体"/>
          <w:sz w:val="30"/>
          <w:szCs w:val="30"/>
        </w:rPr>
      </w:pPr>
      <w:r>
        <w:rPr>
          <w:rFonts w:hint="eastAsia" w:ascii="宋体" w:hAnsi="宋体"/>
          <w:sz w:val="30"/>
        </w:rPr>
        <w:t>项目名称：</w:t>
      </w:r>
      <w:r>
        <w:rPr>
          <w:rFonts w:hint="eastAsia" w:ascii="宋体" w:hAnsi="宋体"/>
          <w:sz w:val="30"/>
          <w:u w:val="single"/>
        </w:rPr>
        <w:t xml:space="preserve">                        </w:t>
      </w:r>
    </w:p>
    <w:p>
      <w:pPr>
        <w:ind w:left="1500" w:right="-382" w:rightChars="-159" w:hanging="1500" w:hangingChars="500"/>
        <w:rPr>
          <w:rFonts w:hint="eastAsia" w:ascii="宋体" w:hAnsi="宋体"/>
          <w:sz w:val="30"/>
          <w:szCs w:val="30"/>
        </w:rPr>
      </w:pPr>
      <w:r>
        <w:rPr>
          <w:rFonts w:hint="eastAsia" w:ascii="宋体" w:hAnsi="宋体"/>
          <w:sz w:val="30"/>
        </w:rPr>
        <w:t>货物名称</w:t>
      </w:r>
      <w:r>
        <w:rPr>
          <w:rFonts w:hint="eastAsia" w:ascii="宋体" w:hAnsi="宋体"/>
          <w:b/>
          <w:bCs/>
          <w:sz w:val="30"/>
          <w:szCs w:val="30"/>
        </w:rPr>
        <w:t>：</w:t>
      </w:r>
      <w:r>
        <w:rPr>
          <w:rFonts w:hint="eastAsia" w:ascii="宋体" w:hAnsi="宋体"/>
          <w:b/>
          <w:bCs/>
          <w:sz w:val="30"/>
          <w:szCs w:val="30"/>
          <w:u w:val="single"/>
        </w:rPr>
        <w:t xml:space="preserve">                        </w:t>
      </w:r>
    </w:p>
    <w:p>
      <w:pPr>
        <w:rPr>
          <w:rFonts w:hint="eastAsia" w:ascii="宋体" w:hAnsi="宋体"/>
          <w:sz w:val="30"/>
        </w:rPr>
      </w:pPr>
    </w:p>
    <w:p>
      <w:pPr>
        <w:rPr>
          <w:rFonts w:hint="eastAsia" w:ascii="宋体" w:hAnsi="宋体"/>
          <w:sz w:val="30"/>
        </w:rPr>
      </w:pPr>
    </w:p>
    <w:p>
      <w:pPr>
        <w:rPr>
          <w:rFonts w:hint="eastAsia" w:ascii="宋体" w:hAnsi="宋体"/>
          <w:sz w:val="30"/>
        </w:rPr>
      </w:pPr>
    </w:p>
    <w:p>
      <w:pPr>
        <w:rPr>
          <w:rFonts w:hint="eastAsia" w:ascii="宋体" w:hAnsi="宋体"/>
          <w:sz w:val="30"/>
          <w:szCs w:val="30"/>
        </w:rPr>
      </w:pPr>
      <w:r>
        <w:rPr>
          <w:rFonts w:hint="eastAsia" w:ascii="宋体" w:hAnsi="宋体"/>
          <w:sz w:val="30"/>
        </w:rPr>
        <w:t>甲    方：</w:t>
      </w:r>
      <w:r>
        <w:rPr>
          <w:rFonts w:hint="eastAsia" w:ascii="宋体" w:hAnsi="宋体"/>
          <w:sz w:val="30"/>
          <w:u w:val="single"/>
        </w:rPr>
        <w:t xml:space="preserve">                             </w:t>
      </w:r>
      <w:r>
        <w:rPr>
          <w:rFonts w:hint="eastAsia" w:ascii="宋体" w:hAnsi="宋体"/>
          <w:sz w:val="30"/>
        </w:rPr>
        <w:t xml:space="preserve">    </w:t>
      </w:r>
    </w:p>
    <w:p>
      <w:pPr>
        <w:rPr>
          <w:rFonts w:hint="eastAsia" w:ascii="宋体" w:hAnsi="宋体"/>
          <w:sz w:val="30"/>
          <w:u w:val="single"/>
        </w:rPr>
      </w:pPr>
    </w:p>
    <w:p>
      <w:pPr>
        <w:rPr>
          <w:rFonts w:hint="eastAsia" w:ascii="宋体" w:hAnsi="宋体"/>
          <w:sz w:val="30"/>
          <w:szCs w:val="30"/>
        </w:rPr>
      </w:pPr>
      <w:r>
        <w:rPr>
          <w:rFonts w:hint="eastAsia" w:ascii="宋体" w:hAnsi="宋体"/>
          <w:sz w:val="30"/>
        </w:rPr>
        <w:t>乙</w:t>
      </w:r>
      <w:r>
        <w:rPr>
          <w:rFonts w:hint="eastAsia" w:ascii="宋体" w:hAnsi="宋体"/>
          <w:sz w:val="30"/>
        </w:rPr>
        <w:tab/>
      </w:r>
      <w:r>
        <w:rPr>
          <w:rFonts w:hint="eastAsia" w:ascii="宋体" w:hAnsi="宋体"/>
          <w:sz w:val="30"/>
        </w:rPr>
        <w:t xml:space="preserve">   方</w:t>
      </w:r>
      <w:r>
        <w:rPr>
          <w:rFonts w:hint="eastAsia" w:ascii="宋体" w:hAnsi="宋体"/>
          <w:sz w:val="30"/>
          <w:szCs w:val="30"/>
        </w:rPr>
        <w:t>：</w:t>
      </w:r>
      <w:r>
        <w:rPr>
          <w:rFonts w:hint="eastAsia" w:ascii="宋体" w:hAnsi="宋体"/>
          <w:sz w:val="30"/>
          <w:szCs w:val="30"/>
          <w:u w:val="single"/>
        </w:rPr>
        <w:t xml:space="preserve">                            </w:t>
      </w:r>
    </w:p>
    <w:p>
      <w:pPr>
        <w:rPr>
          <w:rFonts w:hint="eastAsia" w:ascii="宋体" w:hAnsi="宋体"/>
          <w:sz w:val="30"/>
        </w:rPr>
      </w:pPr>
    </w:p>
    <w:p>
      <w:pPr>
        <w:rPr>
          <w:rFonts w:hint="eastAsia" w:ascii="宋体" w:hAnsi="宋体"/>
          <w:sz w:val="30"/>
        </w:rPr>
      </w:pPr>
    </w:p>
    <w:p>
      <w:pPr>
        <w:rPr>
          <w:rFonts w:hint="eastAsia" w:ascii="宋体" w:hAnsi="宋体"/>
          <w:sz w:val="30"/>
        </w:rPr>
      </w:pPr>
      <w:r>
        <w:rPr>
          <w:rFonts w:hint="eastAsia" w:ascii="宋体" w:hAnsi="宋体"/>
          <w:sz w:val="30"/>
        </w:rPr>
        <w:t xml:space="preserve">签署日期：   年  月 </w:t>
      </w:r>
      <w:r>
        <w:rPr>
          <w:rFonts w:hint="eastAsia" w:ascii="宋体" w:hAnsi="宋体"/>
          <w:color w:val="FF0000"/>
          <w:sz w:val="30"/>
        </w:rPr>
        <w:t xml:space="preserve"> </w:t>
      </w:r>
      <w:r>
        <w:rPr>
          <w:rFonts w:hint="eastAsia" w:ascii="宋体" w:hAnsi="宋体"/>
          <w:sz w:val="30"/>
        </w:rPr>
        <w:t>日</w:t>
      </w:r>
    </w:p>
    <w:p>
      <w:pPr>
        <w:spacing w:line="360" w:lineRule="auto"/>
        <w:jc w:val="center"/>
        <w:rPr>
          <w:rFonts w:hint="eastAsia" w:ascii="宋体" w:hAnsi="宋体" w:cs="宋体"/>
          <w:b/>
          <w:bCs/>
          <w:sz w:val="24"/>
          <w:szCs w:val="24"/>
        </w:rPr>
      </w:pPr>
    </w:p>
    <w:p>
      <w:pPr>
        <w:spacing w:line="360" w:lineRule="auto"/>
        <w:jc w:val="center"/>
        <w:rPr>
          <w:rFonts w:hint="eastAsia" w:ascii="宋体" w:hAnsi="宋体" w:cs="宋体"/>
          <w:b/>
          <w:bCs/>
          <w:sz w:val="24"/>
          <w:szCs w:val="24"/>
        </w:rPr>
      </w:pPr>
    </w:p>
    <w:p>
      <w:pPr>
        <w:spacing w:line="360" w:lineRule="auto"/>
        <w:jc w:val="center"/>
        <w:rPr>
          <w:rFonts w:hint="eastAsia" w:ascii="宋体" w:hAnsi="宋体" w:cs="宋体"/>
          <w:b/>
          <w:bCs/>
          <w:sz w:val="24"/>
          <w:szCs w:val="24"/>
        </w:rPr>
      </w:pPr>
      <w:r>
        <w:rPr>
          <w:rFonts w:hint="eastAsia" w:ascii="宋体" w:hAnsi="宋体" w:cs="宋体"/>
          <w:b/>
          <w:bCs/>
          <w:sz w:val="24"/>
          <w:szCs w:val="24"/>
        </w:rPr>
        <w:t>合   同  书</w:t>
      </w:r>
    </w:p>
    <w:p>
      <w:pPr>
        <w:spacing w:line="360" w:lineRule="auto"/>
        <w:ind w:left="22" w:leftChars="9" w:firstLine="818" w:firstLineChars="341"/>
        <w:rPr>
          <w:rFonts w:hint="eastAsia" w:ascii="宋体" w:hAnsi="宋体" w:cs="宋体"/>
          <w:sz w:val="24"/>
          <w:szCs w:val="24"/>
        </w:rPr>
      </w:pPr>
      <w:r>
        <w:rPr>
          <w:rFonts w:hint="eastAsia" w:ascii="宋体" w:hAnsi="宋体" w:cs="宋体"/>
          <w:bCs/>
          <w:sz w:val="24"/>
          <w:szCs w:val="24"/>
          <w:u w:val="single"/>
        </w:rPr>
        <w:t xml:space="preserve">  （甲方）   </w:t>
      </w:r>
      <w:r>
        <w:rPr>
          <w:rFonts w:hint="eastAsia" w:ascii="宋体" w:hAnsi="宋体" w:cs="宋体"/>
          <w:sz w:val="24"/>
          <w:szCs w:val="24"/>
        </w:rPr>
        <w:t>在</w:t>
      </w:r>
      <w:r>
        <w:rPr>
          <w:rFonts w:hint="eastAsia" w:ascii="宋体" w:hAnsi="宋体" w:cs="宋体"/>
          <w:bCs/>
          <w:sz w:val="24"/>
          <w:szCs w:val="24"/>
          <w:u w:val="single"/>
        </w:rPr>
        <w:t xml:space="preserve">   （项目名称）  </w:t>
      </w:r>
      <w:r>
        <w:rPr>
          <w:rFonts w:hint="eastAsia" w:ascii="宋体" w:hAnsi="宋体" w:cs="宋体"/>
          <w:sz w:val="24"/>
          <w:szCs w:val="24"/>
        </w:rPr>
        <w:t>中所需</w:t>
      </w:r>
      <w:r>
        <w:rPr>
          <w:rFonts w:hint="eastAsia" w:ascii="宋体" w:hAnsi="宋体" w:cs="宋体"/>
          <w:bCs/>
          <w:sz w:val="24"/>
          <w:szCs w:val="24"/>
          <w:u w:val="single"/>
        </w:rPr>
        <w:t>（货物名称）</w:t>
      </w:r>
      <w:r>
        <w:rPr>
          <w:rFonts w:hint="eastAsia" w:ascii="宋体" w:hAnsi="宋体" w:cs="宋体"/>
          <w:sz w:val="24"/>
          <w:szCs w:val="24"/>
        </w:rPr>
        <w:t>经北京市石景山区政府采购中心以</w:t>
      </w:r>
      <w:r>
        <w:rPr>
          <w:rFonts w:hint="eastAsia" w:ascii="宋体" w:hAnsi="宋体" w:cs="宋体"/>
          <w:sz w:val="24"/>
          <w:szCs w:val="24"/>
          <w:u w:val="single"/>
        </w:rPr>
        <w:t xml:space="preserve"> （项目编号）号</w:t>
      </w:r>
      <w:r>
        <w:rPr>
          <w:rFonts w:hint="eastAsia" w:ascii="宋体" w:hAnsi="宋体" w:cs="宋体"/>
          <w:sz w:val="24"/>
          <w:szCs w:val="24"/>
        </w:rPr>
        <w:t>招标文件在国内公开招标。经评标委员会评定</w:t>
      </w:r>
      <w:r>
        <w:rPr>
          <w:rFonts w:hint="eastAsia" w:ascii="宋体" w:hAnsi="宋体" w:cs="宋体"/>
          <w:sz w:val="24"/>
          <w:szCs w:val="24"/>
          <w:u w:val="single"/>
        </w:rPr>
        <w:t xml:space="preserve">  （乙方）  </w:t>
      </w:r>
      <w:r>
        <w:rPr>
          <w:rFonts w:hint="eastAsia" w:ascii="宋体" w:hAnsi="宋体" w:cs="宋体"/>
          <w:sz w:val="24"/>
          <w:szCs w:val="24"/>
        </w:rPr>
        <w:t>为中标人。甲、乙双方同意按照下面的条款和条件，签署本合同。</w:t>
      </w:r>
    </w:p>
    <w:p>
      <w:pPr>
        <w:spacing w:line="360" w:lineRule="auto"/>
        <w:ind w:left="410" w:leftChars="171" w:firstLine="480" w:firstLineChars="200"/>
        <w:rPr>
          <w:rFonts w:hint="eastAsia" w:ascii="宋体" w:hAnsi="宋体" w:cs="宋体"/>
          <w:sz w:val="24"/>
          <w:szCs w:val="24"/>
        </w:rPr>
      </w:pPr>
    </w:p>
    <w:p>
      <w:pPr>
        <w:numPr>
          <w:ilvl w:val="0"/>
          <w:numId w:val="23"/>
        </w:numPr>
        <w:spacing w:line="360" w:lineRule="auto"/>
        <w:ind w:firstLine="480" w:firstLineChars="200"/>
        <w:rPr>
          <w:rFonts w:hint="eastAsia" w:ascii="宋体" w:hAnsi="宋体" w:cs="宋体"/>
          <w:sz w:val="24"/>
          <w:szCs w:val="24"/>
        </w:rPr>
      </w:pPr>
      <w:r>
        <w:rPr>
          <w:rFonts w:hint="eastAsia" w:ascii="宋体" w:hAnsi="宋体" w:cs="宋体"/>
          <w:sz w:val="24"/>
          <w:szCs w:val="24"/>
        </w:rPr>
        <w:t>合同文件：下列文件构成本合同的组成部分，应该认为是一个整体，彼此相互解释，相互补充。为便于解释，组成合同的多个文件的优先支配地位的次序如下：</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1、本合同书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2、中标通知书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3、补充协议</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4、投标文件       （含澄清文件）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5、招标文件       （含招标文件补充通知）</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6、货物清单       （附合同后）</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 xml:space="preserve"> 二、定义：本合同中的下列术语应解释为：</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1、“合同”系指甲乙双方签署的,合同格式中载明双方所达成的协议,包括构成合同的所有的附件、附录和构成合同的所有文件。</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2、“合同价”系指根据合同规定,在乙方正确、完全履行合同义务后，甲方应付的价格。</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3、“货物”系指乙方根据合同规定须向甲方提供的所有硬件设备、安装调试、技术资料及其它材料。</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4、“服务”系指根据合同规定乙方承担与供货有关的辅助服务,如送货、安装、调试、维修、提供技术援助、培训和其它类似的义务。</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三、采购货物及数量</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 xml:space="preserve">    货物名称： </w:t>
      </w:r>
      <w:r>
        <w:rPr>
          <w:rFonts w:hint="eastAsia" w:ascii="宋体" w:hAnsi="宋体" w:cs="宋体"/>
          <w:sz w:val="24"/>
          <w:szCs w:val="24"/>
          <w:u w:val="single"/>
        </w:rPr>
        <w:t xml:space="preserve">               </w:t>
      </w:r>
    </w:p>
    <w:p>
      <w:pPr>
        <w:spacing w:line="360" w:lineRule="auto"/>
        <w:ind w:right="113" w:rightChars="47" w:firstLine="477" w:firstLineChars="199"/>
        <w:rPr>
          <w:rFonts w:hint="eastAsia" w:ascii="宋体" w:hAnsi="宋体" w:cs="宋体"/>
          <w:sz w:val="24"/>
          <w:szCs w:val="24"/>
          <w:u w:val="single"/>
        </w:rPr>
      </w:pPr>
      <w:r>
        <w:rPr>
          <w:rFonts w:hint="eastAsia" w:ascii="宋体" w:hAnsi="宋体" w:cs="宋体"/>
          <w:sz w:val="24"/>
          <w:szCs w:val="24"/>
        </w:rPr>
        <w:t xml:space="preserve">    采购数量： </w:t>
      </w:r>
      <w:r>
        <w:rPr>
          <w:rFonts w:hint="eastAsia" w:ascii="宋体" w:hAnsi="宋体" w:cs="宋体"/>
          <w:sz w:val="24"/>
          <w:szCs w:val="24"/>
          <w:u w:val="single"/>
        </w:rPr>
        <w:t xml:space="preserve">               </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 xml:space="preserve">    价格：</w:t>
      </w:r>
      <w:r>
        <w:rPr>
          <w:rFonts w:hint="eastAsia" w:ascii="宋体" w:hAnsi="宋体" w:cs="宋体"/>
          <w:sz w:val="24"/>
          <w:szCs w:val="24"/>
          <w:u w:val="single"/>
        </w:rPr>
        <w:t xml:space="preserve">                   </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四、技术规格</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1、乙方提供的货物的技术规格、功能结构等应与其投标文件中的相关内容及技术资料等相关内容一致。</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2、当所供货物、价格、服务等与投标文件不一致时,</w:t>
      </w:r>
      <w:r>
        <w:rPr>
          <w:rFonts w:hint="eastAsia" w:ascii="宋体" w:hAnsi="宋体" w:cs="宋体"/>
          <w:color w:val="000000"/>
          <w:sz w:val="24"/>
          <w:szCs w:val="24"/>
        </w:rPr>
        <w:t>乙方</w:t>
      </w:r>
      <w:r>
        <w:rPr>
          <w:rFonts w:hint="eastAsia" w:ascii="宋体" w:hAnsi="宋体" w:cs="宋体"/>
          <w:sz w:val="24"/>
          <w:szCs w:val="24"/>
        </w:rPr>
        <w:t>应提出书面申请。</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3、乙方承诺投标文件中有关技术资料的正偏离参数具有向下指标的兼容性。</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五、权利保证</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1、乙方应保证对其提供的货物拥有合法的所有权。</w:t>
      </w:r>
      <w:r>
        <w:rPr>
          <w:rFonts w:hint="eastAsia" w:ascii="宋体" w:hAnsi="宋体" w:cs="宋体"/>
          <w:color w:val="000000"/>
          <w:sz w:val="24"/>
          <w:szCs w:val="24"/>
        </w:rPr>
        <w:t>若乙</w:t>
      </w:r>
      <w:r>
        <w:rPr>
          <w:rFonts w:hint="eastAsia" w:ascii="宋体" w:hAnsi="宋体" w:cs="宋体"/>
          <w:sz w:val="24"/>
          <w:szCs w:val="24"/>
        </w:rPr>
        <w:t>方所交货物包含任何知识产权，乙方应保证不侵犯任何第三方的知识产权。对乙方所交货物引起的任何所有权、知识产权纠纷，乙方应以自己的费用解决，同时乙方要赔偿甲方因此而遭受的经济损失（包括但不限于法院诉讼的费用、律师费、损害赔偿费、罚款等）。</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w:t>
      </w:r>
      <w:r>
        <w:rPr>
          <w:rFonts w:hint="eastAsia" w:ascii="宋体" w:hAnsi="宋体" w:cs="宋体"/>
          <w:color w:val="000000"/>
          <w:sz w:val="24"/>
          <w:szCs w:val="24"/>
        </w:rPr>
        <w:t>乙方保证在货物上不存在其他任何第三人的担保物权。</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3、乙方保证货物不侵犯任何第三人的姓名权、名称权、肖像权、荣誉权等人身权。</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4、如上所述的诉讼或其他法律程序禁止甲方使用货物，乙方应赔偿甲方因此而受到的损失。对于甲方购买的货物，乙方应当：</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1）自付费用向销售人取得使用货物的许可。</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2）自负风险及费用将货物运回并退回甲方已支付的货款。</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六、供货时间及包装要求</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1、供货时间自合同签订之日起不超过</w:t>
      </w:r>
      <w:r>
        <w:rPr>
          <w:rFonts w:hint="eastAsia" w:ascii="宋体" w:hAnsi="宋体" w:cs="宋体"/>
          <w:sz w:val="24"/>
          <w:szCs w:val="24"/>
          <w:u w:val="single"/>
        </w:rPr>
        <w:t xml:space="preserve">   </w:t>
      </w:r>
      <w:r>
        <w:rPr>
          <w:rFonts w:hint="eastAsia" w:ascii="宋体" w:hAnsi="宋体" w:cs="宋体"/>
          <w:sz w:val="24"/>
          <w:szCs w:val="24"/>
        </w:rPr>
        <w:t>个日历日。供货商应将本批全部货物运抵甲方指定的使用单位并完成安装调试投入使用。</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2、乙方提供的全部货物均应采用标准保护措施进行包装，确保货物安全无损运抵现场。由于包装、运输、安装、调试等不善所引起的货物损坏和损失均由乙方承担。</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3、每件包装箱内应附一份详细装箱单、使用说明书、质量合格证等相关资料。</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七、装运条件</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1、乙方负责安排运输工具,运输过程中涉及的全部费用均由乙方承担。</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2、乙方将全部货物运抵使用单位指定地点并完成安装调试工作后，乙方完成交付。</w:t>
      </w:r>
    </w:p>
    <w:p>
      <w:pPr>
        <w:spacing w:line="360" w:lineRule="auto"/>
        <w:ind w:right="113" w:rightChars="47" w:firstLine="477" w:firstLineChars="199"/>
        <w:rPr>
          <w:rFonts w:hint="eastAsia" w:ascii="宋体" w:hAnsi="宋体" w:cs="宋体"/>
          <w:color w:val="FF9900"/>
          <w:sz w:val="24"/>
          <w:szCs w:val="24"/>
        </w:rPr>
      </w:pPr>
      <w:r>
        <w:rPr>
          <w:rFonts w:hint="eastAsia" w:ascii="宋体" w:hAnsi="宋体" w:cs="宋体"/>
          <w:sz w:val="24"/>
          <w:szCs w:val="24"/>
        </w:rPr>
        <w:t>八、货款支付：</w:t>
      </w:r>
    </w:p>
    <w:p>
      <w:pPr>
        <w:spacing w:line="560" w:lineRule="exact"/>
        <w:ind w:firstLine="480"/>
        <w:rPr>
          <w:rFonts w:hint="eastAsia" w:ascii="宋体" w:hAnsi="宋体"/>
          <w:sz w:val="24"/>
        </w:rPr>
      </w:pPr>
      <w:r>
        <w:rPr>
          <w:rFonts w:hint="eastAsia" w:ascii="宋体" w:hAnsi="宋体"/>
          <w:sz w:val="24"/>
        </w:rPr>
        <w:t>本合同的付款方式为：</w:t>
      </w:r>
    </w:p>
    <w:p>
      <w:pPr>
        <w:spacing w:line="560" w:lineRule="exact"/>
        <w:ind w:firstLine="480"/>
        <w:rPr>
          <w:rFonts w:hint="eastAsia" w:ascii="宋体" w:hAnsi="宋体" w:cs="宋体"/>
          <w:sz w:val="24"/>
          <w:szCs w:val="24"/>
        </w:rPr>
      </w:pPr>
      <w:r>
        <w:rPr>
          <w:rFonts w:hint="eastAsia" w:ascii="宋体" w:hAnsi="宋体" w:cs="宋体"/>
          <w:sz w:val="24"/>
          <w:szCs w:val="24"/>
        </w:rPr>
        <w:t xml:space="preserve">1、 </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九、技术资料</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1、交货时，乙方应将货物的完整技术资料、保修单和售后服务承诺书等材料交给甲方指定单位，技术资料、保修单和售后服务承诺书应该与投标文件相一致。以上材料构成乙方是否正确履行合同的依据之一。</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2、甲方因使用、维修需要，有翻译成其它文字和复印的权利。</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十、质量保证</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乙方应保证货物是全新、未使用的合格产品，并完全符合合同规定的质量、规格和性能等要求。乙方应保证所提供的货物经正确安装调试、正常使用和在使用寿命期内应具有满意的性能。在货物最终验收后的质量保证期之内，乙方应对由于设计、工艺或材料的缺陷而产生的任何不足或故障负责，费用由乙方负担。</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2、本合同涉及货物的质量保证以招标文件为准。</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3、本合同涉及货物的质量保证期以投标书中“保修和售后服务承诺书”为准。</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4、若乙方违反上述担保，货物被禁止使用，乙方应自负风险和费用将货物收回，退还甲方已支付的货款。</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十一、保修和售后服务</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1、乙方负责设备的免费送货。</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2、质量保证期内设备（包括易损件）出现故障，乙方应在投标文件中承诺响应时间内免费上门服务并免费更换损坏的部件。</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3、质量保证期后，维修调试、更换配件等只收取成本费。</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4、如果乙方在收到报修通知后在投标文件承诺的时间内没有维修或弥补缺陷,甲方可采取必要的补救措施,但风险和费用将由乙方承担。</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5、设备售出后乙方应用多种方式定期进行回访。</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6、乙方应兑现投标文件中“质量保证和售后服务承诺书”中承诺的其它各项售后服务。</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十二、检验和安装</w:t>
      </w:r>
    </w:p>
    <w:p>
      <w:pPr>
        <w:spacing w:line="360" w:lineRule="auto"/>
        <w:ind w:right="-149" w:rightChars="-62" w:firstLine="477" w:firstLineChars="199"/>
        <w:rPr>
          <w:rFonts w:hint="eastAsia" w:ascii="宋体" w:hAnsi="宋体" w:cs="宋体"/>
          <w:sz w:val="24"/>
          <w:szCs w:val="24"/>
        </w:rPr>
      </w:pPr>
      <w:r>
        <w:rPr>
          <w:rFonts w:hint="eastAsia" w:ascii="宋体" w:hAnsi="宋体" w:cs="宋体"/>
          <w:sz w:val="24"/>
          <w:szCs w:val="24"/>
        </w:rPr>
        <w:t>1、在交货前乙方应对货物的质量、规格、性能、数量等进行详细而全面的检验。</w:t>
      </w:r>
    </w:p>
    <w:p>
      <w:pPr>
        <w:spacing w:line="360" w:lineRule="auto"/>
        <w:ind w:right="113" w:rightChars="47" w:firstLine="477" w:firstLineChars="199"/>
        <w:rPr>
          <w:rFonts w:hint="eastAsia" w:ascii="宋体" w:hAnsi="宋体" w:cs="宋体"/>
          <w:color w:val="FF0000"/>
          <w:sz w:val="24"/>
          <w:szCs w:val="24"/>
        </w:rPr>
      </w:pPr>
      <w:r>
        <w:rPr>
          <w:rFonts w:hint="eastAsia" w:ascii="宋体" w:hAnsi="宋体" w:cs="宋体"/>
          <w:sz w:val="24"/>
          <w:szCs w:val="24"/>
        </w:rPr>
        <w:t>2、</w:t>
      </w:r>
      <w:r>
        <w:rPr>
          <w:rFonts w:hint="eastAsia" w:ascii="宋体" w:hAnsi="宋体" w:cs="宋体"/>
          <w:color w:val="000000"/>
          <w:sz w:val="24"/>
          <w:szCs w:val="24"/>
        </w:rPr>
        <w:t>严格按照甲方和产品安装要求进行安装；</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3、货物运抵甲方指定的使用单位并经乙方安装调试后,</w:t>
      </w:r>
      <w:r>
        <w:rPr>
          <w:rFonts w:hint="eastAsia" w:ascii="宋体" w:hAnsi="宋体" w:cs="宋体"/>
          <w:color w:val="000000"/>
          <w:sz w:val="24"/>
          <w:szCs w:val="24"/>
        </w:rPr>
        <w:t>由甲乙双方</w:t>
      </w:r>
      <w:r>
        <w:rPr>
          <w:rFonts w:hint="eastAsia" w:ascii="宋体" w:hAnsi="宋体" w:cs="宋体"/>
          <w:sz w:val="24"/>
          <w:szCs w:val="24"/>
        </w:rPr>
        <w:t>验收。</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十三、索赔</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1、若验收不合格，延误工期，甲方以书面形式通知乙方，提出索赔。</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2、在质量保证期内，如果货物存在规格、性能等方面与合同不符，或证实货物是有缺陷的，包括潜在的缺陷或使用不符合要求的部件等，甲方以书面形式通知乙方，提出索赔。</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3、当甲方与乙方对货物的质量性能和技术指标等存在的问题认知不一致时,可向当地的商检局或产品检验所申请对货物的质量、技术规格等进行检验，并出具检验证书。检验费用由责任方负担。</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4、如果乙方对甲方提出的索赔负有责任，乙方应按照甲方同意的下列一种方式解决索赔事宜：</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（1）若设备检验不合格，甲方要求退货，乙方承担由此发生的一切损失和费用。</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（2）如验收不合格，延误工期，乙方应承担甲方所遭受的一切经济损失。</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用符合规格、质量和性能要求的新零件、部件或货物来更换有缺陷的部分，乙方应承担一切费用和风险并负担甲方所遭受的损失。同时，乙方应按合同条款第十条规定，相应延长修补或更换部分的质量保证期。</w:t>
      </w:r>
    </w:p>
    <w:p>
      <w:pPr>
        <w:spacing w:line="360" w:lineRule="auto"/>
        <w:ind w:right="113" w:rightChars="47" w:firstLine="477" w:firstLineChars="199"/>
        <w:rPr>
          <w:rFonts w:hint="eastAsia" w:ascii="宋体" w:hAnsi="宋体" w:cs="宋体"/>
          <w:color w:val="000000"/>
          <w:sz w:val="24"/>
          <w:szCs w:val="24"/>
        </w:rPr>
      </w:pPr>
      <w:r>
        <w:rPr>
          <w:rFonts w:hint="eastAsia" w:ascii="宋体" w:hAnsi="宋体" w:cs="宋体"/>
          <w:color w:val="000000"/>
          <w:sz w:val="24"/>
          <w:szCs w:val="24"/>
        </w:rPr>
        <w:t>5、如果在甲方发出索赔通知后十天内,乙方未作答复，上述索赔应视为已被乙方接受；如乙方未能在甲方提出索赔通知后十天内或甲方同意的更长时间内，按照合同条款规定的任何的一种方法解决索赔事宜，甲方有权从质量保证金中扣出索赔金额，如果质量保证金不足以补偿给甲方造成的损失或已支付乙方，乙方另外赔偿相应的损失。</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十四、争议解决方式</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1、甲乙双方通过友好协商，解决在执行合同中所发生的或与本合同有关的一切争端，如从协商开始十日内仍得不到解决，甲乙方双方将争端提交石景山区政府采购管理科进行调解。</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2、如调解不成，双方可以到合同签署地人民法院提请诉讼。</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3、诉讼的费用应由败诉方负担。</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4、在诉讼期间，除正在进行诉讼的部分外，本合同其它部分应继续执行。</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十五、不可抗力</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1、由于自然灾害、社会因素、政府行为及其他经双方同意的原因，导致本合同不能全部或部分履行，甲乙双方互不承担违约责任，善后事宜由双方协商。</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2、受事故影响的一方应在事故发生后叁日内以书面形式通知另一方，并将有关部门出具的证明文件提交给另一方。</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十六、税费</w:t>
      </w:r>
    </w:p>
    <w:p>
      <w:pPr>
        <w:spacing w:line="360" w:lineRule="auto"/>
        <w:ind w:right="-149" w:rightChars="-62" w:firstLine="477" w:firstLineChars="199"/>
        <w:rPr>
          <w:rFonts w:hint="eastAsia" w:ascii="宋体" w:hAnsi="宋体" w:cs="宋体"/>
          <w:color w:val="000000"/>
          <w:sz w:val="24"/>
          <w:szCs w:val="24"/>
        </w:rPr>
      </w:pPr>
      <w:r>
        <w:rPr>
          <w:rFonts w:hint="eastAsia" w:ascii="宋体" w:hAnsi="宋体" w:cs="宋体"/>
          <w:color w:val="000000"/>
          <w:sz w:val="24"/>
          <w:szCs w:val="24"/>
        </w:rPr>
        <w:t>1、中国政府根据现行税法对甲方征收的与本合同有关的一切税费均由甲方负担。</w:t>
      </w:r>
    </w:p>
    <w:p>
      <w:pPr>
        <w:spacing w:line="360" w:lineRule="auto"/>
        <w:ind w:right="-149" w:rightChars="-62" w:firstLine="477" w:firstLineChars="199"/>
        <w:rPr>
          <w:rFonts w:hint="eastAsia" w:ascii="宋体" w:hAnsi="宋体" w:cs="宋体"/>
          <w:sz w:val="24"/>
          <w:szCs w:val="24"/>
        </w:rPr>
      </w:pPr>
      <w:r>
        <w:rPr>
          <w:rFonts w:hint="eastAsia" w:ascii="宋体" w:hAnsi="宋体" w:cs="宋体"/>
          <w:color w:val="000000"/>
          <w:sz w:val="24"/>
          <w:szCs w:val="24"/>
        </w:rPr>
        <w:t>2、中国政府根据现行税法对乙方征收的与本合同有关的一切税费均由</w:t>
      </w:r>
      <w:r>
        <w:rPr>
          <w:rFonts w:hint="eastAsia" w:ascii="宋体" w:hAnsi="宋体" w:cs="宋体"/>
          <w:sz w:val="24"/>
          <w:szCs w:val="24"/>
        </w:rPr>
        <w:t>乙方负担。</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十七、合同解除和终止</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1、合同解除：</w:t>
      </w:r>
      <w:r>
        <w:rPr>
          <w:rFonts w:hint="eastAsia" w:ascii="宋体" w:hAnsi="宋体" w:cs="宋体"/>
          <w:color w:val="000000"/>
          <w:sz w:val="24"/>
          <w:szCs w:val="24"/>
        </w:rPr>
        <w:t>在甲方对乙方违约而采取的任何补救措施不受影响的情况下，</w:t>
      </w:r>
      <w:r>
        <w:rPr>
          <w:rFonts w:hint="eastAsia" w:ascii="宋体" w:hAnsi="宋体" w:cs="宋体"/>
          <w:sz w:val="24"/>
          <w:szCs w:val="24"/>
        </w:rPr>
        <w:t>出现下列情况，甲方可向乙方发出书面通知，提出解除合同，并要求退货、返款。</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（1）乙方未能在规定的期限或甲方同意延长的期限内交货。</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（2）乙方使用假冒、伪劣产品，或达不到合同规定的质量、性能。</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（3）乙方其它严重违反合同规定的行为。</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2、提前终止合同：如果乙方在合同履行期间破产，甲方可在任何时候以书面形式通知乙方即时终止合同，不予退还质量保证金，并保留甲方已经采取或将要采取的补救措施的权利。</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十八、违约责任</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因乙方原因（包括乙方提供的货物未达到验收标准）使货物未按规定运抵甲方指定地点，每延迟一日，乙方应按逾期所涉金额的1‰向甲方支付违约金，违约金最多不得超过逾期所涉金额的5%。若乙方延迟超过50天，甲方有权解除合同，并要求乙方全部退还所收费用，赔偿经济损失。</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2、乙方所提供的货物质量不符合本合同约定标准时，乙方应负责及时更换、维修，甲方有权拒绝付款，并追究乙方违约责任。</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3、因产品缺陷而产生的退换货或赔偿损失的直接费用，如检验费、退换货往返运费、保险费、仓储费及装卸费等，均由乙方承担。</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4、因产品质量缺陷造成第三方损害而要求甲方赔偿的，甲方有权随时向乙方追索费用。</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5、如乙方出现严重违反合同条款并给甲方带来损失时，甲方可视情况采取以下一种或多种方式：</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（1）在质量保证金中扣除直接损失和间接损失。</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（2）解除合同。</w:t>
      </w:r>
    </w:p>
    <w:p>
      <w:pPr>
        <w:tabs>
          <w:tab w:val="left" w:pos="1050"/>
          <w:tab w:val="left" w:pos="1260"/>
        </w:tabs>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（3）将违约行为上报政府采购办公室，由政府采购办公室对违反合同行为做出处理，在政府采购网上公布。</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十九、转让：未经甲方事先书面同意，乙方不得部分转让或全部转让其应履行的合同义务。</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二十、适用法律 ：本合同应按照中华人民共和国的相关法律进行解释。</w:t>
      </w:r>
    </w:p>
    <w:p>
      <w:pPr>
        <w:spacing w:line="360" w:lineRule="auto"/>
        <w:ind w:right="113" w:rightChars="47" w:firstLine="477" w:firstLineChars="199"/>
        <w:rPr>
          <w:rFonts w:hint="eastAsia" w:ascii="宋体" w:hAnsi="宋体" w:cs="宋体"/>
          <w:sz w:val="24"/>
          <w:szCs w:val="24"/>
        </w:rPr>
      </w:pPr>
      <w:r>
        <w:rPr>
          <w:rFonts w:hint="eastAsia" w:ascii="宋体" w:hAnsi="宋体" w:cs="宋体"/>
          <w:sz w:val="24"/>
          <w:szCs w:val="24"/>
        </w:rPr>
        <w:t>二十一、合同生效及其它：合同在甲乙双方签字盖章后开始生效。本合同一式三份，甲乙双方各执一份，石景山区政府采购中心备案一份。如需修改或补充合同内容，经协商，双方应签署书面修改或补充协议，该协议作为本合同的一个组成部分。</w:t>
      </w:r>
    </w:p>
    <w:p>
      <w:pPr>
        <w:ind w:left="5369" w:leftChars="187" w:right="-838" w:rightChars="-349" w:hanging="4920" w:hangingChars="2050"/>
        <w:rPr>
          <w:rFonts w:hint="eastAsia" w:ascii="宋体" w:hAnsi="宋体"/>
          <w:sz w:val="24"/>
        </w:rPr>
      </w:pPr>
      <w:r>
        <w:rPr>
          <w:rFonts w:hint="eastAsia" w:ascii="宋体" w:hAnsi="宋体"/>
          <w:sz w:val="24"/>
        </w:rPr>
        <w:t>甲方：                                  乙方：</w:t>
      </w:r>
    </w:p>
    <w:p>
      <w:pPr>
        <w:ind w:left="5632" w:leftChars="86" w:hanging="5426" w:hangingChars="2261"/>
        <w:rPr>
          <w:rFonts w:hint="eastAsia" w:ascii="宋体" w:hAnsi="宋体"/>
          <w:sz w:val="24"/>
        </w:rPr>
      </w:pPr>
      <w:r>
        <w:rPr>
          <w:rFonts w:hint="eastAsia" w:ascii="宋体" w:hAnsi="宋体"/>
          <w:sz w:val="24"/>
        </w:rPr>
        <w:t xml:space="preserve">     名称：（印章）                        名称：（印章）</w:t>
      </w:r>
    </w:p>
    <w:p>
      <w:pPr>
        <w:ind w:firstLine="570"/>
        <w:rPr>
          <w:rFonts w:hint="eastAsia" w:ascii="宋体" w:hAnsi="宋体"/>
          <w:sz w:val="24"/>
        </w:rPr>
      </w:pPr>
      <w:r>
        <w:rPr>
          <w:rFonts w:hint="eastAsia" w:ascii="宋体" w:hAnsi="宋体"/>
          <w:sz w:val="24"/>
        </w:rPr>
        <w:t xml:space="preserve">          </w:t>
      </w:r>
    </w:p>
    <w:p>
      <w:pPr>
        <w:ind w:firstLine="570"/>
        <w:rPr>
          <w:rFonts w:hint="eastAsia" w:ascii="宋体" w:hAnsi="宋体"/>
          <w:sz w:val="24"/>
        </w:rPr>
      </w:pPr>
      <w:r>
        <w:rPr>
          <w:rFonts w:hint="eastAsia" w:ascii="宋体" w:hAnsi="宋体"/>
          <w:sz w:val="24"/>
        </w:rPr>
        <w:t xml:space="preserve">     年  月</w:t>
      </w:r>
      <w:r>
        <w:rPr>
          <w:rFonts w:hint="eastAsia" w:ascii="宋体" w:hAnsi="宋体"/>
          <w:color w:val="FF0000"/>
          <w:sz w:val="24"/>
        </w:rPr>
        <w:t xml:space="preserve">  </w:t>
      </w:r>
      <w:r>
        <w:rPr>
          <w:rFonts w:hint="eastAsia" w:ascii="宋体" w:hAnsi="宋体"/>
          <w:sz w:val="24"/>
        </w:rPr>
        <w:t>日                       年  月</w:t>
      </w:r>
      <w:r>
        <w:rPr>
          <w:rFonts w:hint="eastAsia" w:ascii="宋体" w:hAnsi="宋体"/>
          <w:color w:val="FF0000"/>
          <w:sz w:val="24"/>
        </w:rPr>
        <w:t xml:space="preserve">  </w:t>
      </w:r>
      <w:r>
        <w:rPr>
          <w:rFonts w:hint="eastAsia" w:ascii="宋体" w:hAnsi="宋体"/>
          <w:sz w:val="24"/>
        </w:rPr>
        <w:t>日</w:t>
      </w:r>
    </w:p>
    <w:p>
      <w:pPr>
        <w:spacing w:before="312" w:beforeLines="100"/>
        <w:ind w:firstLine="573"/>
        <w:rPr>
          <w:rFonts w:hint="eastAsia" w:ascii="宋体" w:hAnsi="宋体"/>
          <w:sz w:val="24"/>
          <w:u w:val="single"/>
        </w:rPr>
      </w:pPr>
      <w:r>
        <w:rPr>
          <w:rFonts w:hint="eastAsia" w:ascii="宋体" w:hAnsi="宋体"/>
          <w:sz w:val="24"/>
          <w:lang w:eastAsia="zh-CN"/>
        </w:rPr>
        <w:t>法定代表人或</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法定代表人或</w:t>
      </w:r>
    </w:p>
    <w:p>
      <w:pPr>
        <w:ind w:firstLine="570"/>
        <w:rPr>
          <w:rFonts w:hint="eastAsia" w:ascii="宋体" w:hAnsi="宋体"/>
          <w:sz w:val="24"/>
          <w:u w:val="single"/>
          <w:lang w:val="en-US" w:eastAsia="zh-CN"/>
        </w:rPr>
      </w:pPr>
      <w:r>
        <w:rPr>
          <w:rFonts w:hint="eastAsia" w:ascii="宋体" w:hAnsi="宋体"/>
          <w:sz w:val="24"/>
        </w:rPr>
        <w:t>授权代理（签字）：</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授权代理（签字）</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u w:val="single"/>
          <w:lang w:val="en-US" w:eastAsia="zh-CN"/>
        </w:rPr>
        <w:t xml:space="preserve">    </w:t>
      </w:r>
    </w:p>
    <w:p>
      <w:pPr>
        <w:pStyle w:val="16"/>
        <w:rPr>
          <w:rFonts w:hint="eastAsia"/>
        </w:rPr>
      </w:pPr>
    </w:p>
    <w:p>
      <w:pPr>
        <w:ind w:left="5808" w:leftChars="270" w:hanging="5160" w:hangingChars="2150"/>
        <w:rPr>
          <w:rFonts w:hint="eastAsia" w:ascii="宋体" w:hAnsi="宋体"/>
          <w:sz w:val="24"/>
          <w:u w:val="single"/>
        </w:rPr>
      </w:pPr>
      <w:r>
        <w:rPr>
          <w:rFonts w:hint="eastAsia" w:ascii="宋体" w:hAnsi="宋体"/>
          <w:sz w:val="24"/>
        </w:rPr>
        <w:t xml:space="preserve">地    址：                            地    址： </w:t>
      </w:r>
    </w:p>
    <w:p>
      <w:pPr>
        <w:ind w:firstLine="1680" w:firstLineChars="700"/>
        <w:rPr>
          <w:rFonts w:hint="eastAsia" w:ascii="宋体" w:hAnsi="宋体"/>
          <w:sz w:val="24"/>
        </w:rPr>
      </w:pPr>
      <w:r>
        <w:rPr>
          <w:rFonts w:hint="eastAsia" w:ascii="宋体" w:hAnsi="宋体"/>
          <w:sz w:val="24"/>
        </w:rPr>
        <w:t xml:space="preserve">                                     </w:t>
      </w:r>
    </w:p>
    <w:p>
      <w:pPr>
        <w:ind w:firstLine="570"/>
        <w:rPr>
          <w:rFonts w:hint="eastAsia" w:ascii="宋体" w:hAnsi="宋体"/>
          <w:sz w:val="24"/>
          <w:u w:val="single"/>
        </w:rPr>
      </w:pPr>
      <w:r>
        <w:rPr>
          <w:rFonts w:hint="eastAsia" w:ascii="宋体" w:hAnsi="宋体"/>
          <w:sz w:val="24"/>
        </w:rPr>
        <w:t xml:space="preserve">邮政编码：                            邮政编码： </w:t>
      </w:r>
    </w:p>
    <w:p>
      <w:pPr>
        <w:ind w:firstLine="570"/>
        <w:rPr>
          <w:rFonts w:hint="eastAsia" w:ascii="宋体" w:hAnsi="宋体"/>
          <w:sz w:val="24"/>
        </w:rPr>
      </w:pPr>
      <w:r>
        <w:rPr>
          <w:rFonts w:hint="eastAsia" w:ascii="宋体" w:hAnsi="宋体"/>
          <w:sz w:val="24"/>
        </w:rPr>
        <w:t xml:space="preserve"> </w:t>
      </w:r>
    </w:p>
    <w:p>
      <w:pPr>
        <w:ind w:firstLine="570"/>
        <w:rPr>
          <w:rFonts w:hint="eastAsia" w:ascii="宋体" w:hAnsi="宋体"/>
          <w:sz w:val="24"/>
        </w:rPr>
      </w:pPr>
      <w:r>
        <w:rPr>
          <w:rFonts w:hint="eastAsia" w:ascii="宋体" w:hAnsi="宋体"/>
          <w:sz w:val="24"/>
        </w:rPr>
        <w:t xml:space="preserve">电    话：                            电     话：  </w:t>
      </w:r>
    </w:p>
    <w:p>
      <w:pPr>
        <w:ind w:firstLine="570"/>
        <w:rPr>
          <w:rFonts w:hint="eastAsia" w:ascii="宋体" w:hAnsi="宋体"/>
          <w:sz w:val="24"/>
        </w:rPr>
      </w:pPr>
    </w:p>
    <w:p>
      <w:pPr>
        <w:ind w:firstLine="570"/>
        <w:rPr>
          <w:rFonts w:hint="eastAsia" w:ascii="宋体" w:hAnsi="宋体"/>
          <w:sz w:val="24"/>
          <w:u w:val="single"/>
        </w:rPr>
      </w:pPr>
      <w:r>
        <w:rPr>
          <w:rFonts w:hint="eastAsia" w:ascii="宋体" w:hAnsi="宋体"/>
          <w:sz w:val="24"/>
        </w:rPr>
        <w:t>开户银行：                            开户银行：</w:t>
      </w:r>
    </w:p>
    <w:p>
      <w:pPr>
        <w:ind w:firstLine="570"/>
        <w:rPr>
          <w:rFonts w:ascii="宋体" w:hAnsi="宋体"/>
          <w:b/>
          <w:color w:val="auto"/>
        </w:rPr>
      </w:pPr>
      <w:r>
        <w:rPr>
          <w:rFonts w:hint="eastAsia" w:ascii="宋体" w:hAnsi="宋体"/>
          <w:sz w:val="24"/>
        </w:rPr>
        <w:t>帐    号：                            帐     号：</w:t>
      </w:r>
      <w:r>
        <w:rPr>
          <w:rFonts w:hint="eastAsia" w:ascii="宋体" w:hAnsi="宋体"/>
          <w:color w:val="auto"/>
          <w:kern w:val="44"/>
          <w:sz w:val="28"/>
          <w:szCs w:val="28"/>
        </w:rPr>
        <w:t xml:space="preserve">       </w:t>
      </w:r>
    </w:p>
    <w:p>
      <w:pPr>
        <w:pStyle w:val="48"/>
        <w:snapToGrid w:val="0"/>
        <w:spacing w:before="0" w:after="0"/>
        <w:ind w:left="0"/>
        <w:rPr>
          <w:color w:val="auto"/>
        </w:rPr>
      </w:pPr>
      <w:bookmarkStart w:id="70" w:name="_Toc466015317"/>
      <w:r>
        <w:rPr>
          <w:rFonts w:hint="eastAsia" w:ascii="宋体" w:hAnsi="宋体"/>
          <w:color w:val="auto"/>
          <w:lang w:eastAsia="zh-CN"/>
        </w:rPr>
        <w:t>电子</w:t>
      </w:r>
      <w:r>
        <w:rPr>
          <w:rFonts w:hint="eastAsia" w:ascii="宋体" w:hAnsi="宋体"/>
          <w:color w:val="auto"/>
        </w:rPr>
        <w:t>投标文件格式</w:t>
      </w:r>
      <w:bookmarkEnd w:id="66"/>
      <w:bookmarkEnd w:id="67"/>
      <w:bookmarkEnd w:id="68"/>
      <w:bookmarkEnd w:id="69"/>
      <w:bookmarkEnd w:id="70"/>
    </w:p>
    <w:p>
      <w:pPr>
        <w:spacing w:before="312" w:beforeLines="100" w:after="156" w:afterLines="50"/>
        <w:ind w:firstLine="482" w:firstLineChars="200"/>
        <w:outlineLvl w:val="1"/>
        <w:rPr>
          <w:rFonts w:hint="eastAsia" w:ascii="宋体" w:hAnsi="宋体"/>
          <w:b/>
          <w:color w:val="auto"/>
          <w:sz w:val="24"/>
          <w:szCs w:val="24"/>
        </w:rPr>
      </w:pPr>
      <w:bookmarkStart w:id="71" w:name="_Toc192444818"/>
      <w:bookmarkStart w:id="72" w:name="_Toc129190753"/>
      <w:bookmarkStart w:id="73" w:name="_Toc341716002"/>
      <w:bookmarkStart w:id="74" w:name="_Toc146544227"/>
      <w:bookmarkStart w:id="75" w:name="_Toc134067010"/>
      <w:r>
        <w:rPr>
          <w:rFonts w:hint="eastAsia" w:ascii="宋体" w:hAnsi="宋体"/>
          <w:b/>
          <w:color w:val="auto"/>
          <w:sz w:val="24"/>
          <w:szCs w:val="24"/>
        </w:rPr>
        <w:t>一、投标人提交文件须知</w:t>
      </w:r>
      <w:bookmarkEnd w:id="71"/>
      <w:bookmarkEnd w:id="72"/>
      <w:bookmarkEnd w:id="73"/>
      <w:bookmarkEnd w:id="74"/>
      <w:bookmarkEnd w:id="75"/>
    </w:p>
    <w:p>
      <w:pPr>
        <w:numPr>
          <w:ilvl w:val="0"/>
          <w:numId w:val="24"/>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投标人应严格按照以下顺序填写和提交下述规定的全部格式文件以及其他有关资料，统一编目编码</w:t>
      </w:r>
      <w:r>
        <w:rPr>
          <w:rFonts w:hint="eastAsia" w:ascii="宋体" w:hAnsi="宋体"/>
          <w:color w:val="auto"/>
          <w:sz w:val="24"/>
          <w:szCs w:val="24"/>
          <w:lang w:eastAsia="zh-CN"/>
        </w:rPr>
        <w:t>，</w:t>
      </w:r>
      <w:r>
        <w:rPr>
          <w:rFonts w:hint="eastAsia" w:ascii="宋体" w:hAnsi="宋体"/>
          <w:color w:val="auto"/>
          <w:sz w:val="24"/>
          <w:szCs w:val="24"/>
        </w:rPr>
        <w:t>混乱的编排以致投标文件被误读或查找不到有效文件，后果由投标人承担。</w:t>
      </w:r>
    </w:p>
    <w:p>
      <w:pPr>
        <w:numPr>
          <w:ilvl w:val="0"/>
          <w:numId w:val="24"/>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所附表格中要求回答的全部问题和信息都必须正面回答。</w:t>
      </w:r>
    </w:p>
    <w:p>
      <w:pPr>
        <w:numPr>
          <w:ilvl w:val="0"/>
          <w:numId w:val="24"/>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《投标文件》签字人应保证全部声明和问题的回答是真实、有效的。</w:t>
      </w:r>
    </w:p>
    <w:p>
      <w:pPr>
        <w:numPr>
          <w:ilvl w:val="0"/>
          <w:numId w:val="24"/>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评标委员会依据《招标文件》规定，对《投标文件》进行综合评审。</w:t>
      </w:r>
    </w:p>
    <w:p>
      <w:pPr>
        <w:numPr>
          <w:ilvl w:val="0"/>
          <w:numId w:val="24"/>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投标人提交的材料将被保密保存，但不退还。</w:t>
      </w:r>
    </w:p>
    <w:p>
      <w:pPr>
        <w:numPr>
          <w:ilvl w:val="0"/>
          <w:numId w:val="24"/>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全部文件应按《招标文件》的规定提交。</w:t>
      </w:r>
    </w:p>
    <w:p>
      <w:pPr>
        <w:numPr>
          <w:ilvl w:val="0"/>
          <w:numId w:val="24"/>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加注“★”的条款为实质性响应条款。</w:t>
      </w:r>
    </w:p>
    <w:p>
      <w:pPr>
        <w:numPr>
          <w:ilvl w:val="0"/>
          <w:numId w:val="25"/>
        </w:numPr>
        <w:spacing w:before="312" w:beforeLines="100" w:after="156" w:afterLines="50"/>
        <w:ind w:firstLine="482" w:firstLineChars="200"/>
        <w:outlineLvl w:val="1"/>
        <w:rPr>
          <w:rFonts w:hint="eastAsia" w:ascii="宋体" w:hAnsi="宋体"/>
          <w:b/>
          <w:color w:val="auto"/>
          <w:sz w:val="24"/>
          <w:szCs w:val="24"/>
        </w:rPr>
      </w:pPr>
      <w:bookmarkStart w:id="76" w:name="_投标文件组成_1"/>
      <w:bookmarkEnd w:id="76"/>
      <w:bookmarkStart w:id="77" w:name="_Toc129190754"/>
      <w:bookmarkStart w:id="78" w:name="_Toc146544228"/>
      <w:bookmarkStart w:id="79" w:name="_Toc341716003"/>
      <w:bookmarkStart w:id="80" w:name="_Toc134067011"/>
      <w:bookmarkStart w:id="81" w:name="_Toc192444819"/>
      <w:r>
        <w:rPr>
          <w:rFonts w:hint="eastAsia" w:ascii="宋体" w:hAnsi="宋体"/>
          <w:b/>
          <w:color w:val="auto"/>
          <w:sz w:val="24"/>
          <w:szCs w:val="24"/>
        </w:rPr>
        <w:t>投标文件</w:t>
      </w:r>
      <w:bookmarkEnd w:id="77"/>
      <w:bookmarkEnd w:id="78"/>
      <w:bookmarkEnd w:id="79"/>
      <w:bookmarkEnd w:id="80"/>
      <w:bookmarkEnd w:id="81"/>
      <w:r>
        <w:rPr>
          <w:rFonts w:hint="eastAsia" w:ascii="宋体" w:hAnsi="宋体"/>
          <w:b/>
          <w:color w:val="auto"/>
          <w:sz w:val="24"/>
          <w:szCs w:val="24"/>
        </w:rPr>
        <w:t>格式</w:t>
      </w:r>
    </w:p>
    <w:p>
      <w:pPr>
        <w:spacing w:line="360" w:lineRule="auto"/>
        <w:ind w:firstLine="482" w:firstLineChars="200"/>
        <w:rPr>
          <w:rFonts w:ascii="宋体" w:hAnsi="宋体"/>
          <w:b/>
          <w:bCs/>
          <w:color w:val="auto"/>
          <w:sz w:val="24"/>
        </w:rPr>
      </w:pPr>
      <w:r>
        <w:rPr>
          <w:rFonts w:hint="eastAsia" w:ascii="宋体" w:hAnsi="宋体"/>
          <w:b/>
          <w:bCs/>
          <w:color w:val="auto"/>
          <w:sz w:val="24"/>
        </w:rPr>
        <w:t>（一）投标文件封面格式</w:t>
      </w:r>
    </w:p>
    <w:p>
      <w:pPr>
        <w:jc w:val="center"/>
        <w:rPr>
          <w:rFonts w:hint="eastAsia" w:eastAsia="宋体"/>
          <w:b/>
          <w:color w:val="auto"/>
          <w:sz w:val="44"/>
          <w:szCs w:val="44"/>
          <w:lang w:eastAsia="zh-CN"/>
        </w:rPr>
      </w:pPr>
      <w:r>
        <w:rPr>
          <w:color w:val="auto"/>
          <w:sz w:val="44"/>
        </w:rPr>
        <mc:AlternateContent>
          <mc:Choice Requires="wps">
            <w:drawing>
              <wp:anchor distT="0" distB="0" distL="114300" distR="114300" simplePos="0" relativeHeight="503316480" behindDoc="0" locked="0" layoutInCell="1" hidden="1" allowOverlap="1">
                <wp:simplePos x="0" y="0"/>
                <wp:positionH relativeFrom="column">
                  <wp:posOffset>4285615</wp:posOffset>
                </wp:positionH>
                <wp:positionV relativeFrom="paragraph">
                  <wp:posOffset>334645</wp:posOffset>
                </wp:positionV>
                <wp:extent cx="519430" cy="262255"/>
                <wp:effectExtent l="4445" t="5080" r="9525" b="18415"/>
                <wp:wrapNone/>
                <wp:docPr id="5" name="文本框 5" hidden="1"/>
                <wp:cNvGraphicFramePr/>
                <a:graphic xmlns:a="http://schemas.openxmlformats.org/drawingml/2006/main">
                  <a:graphicData uri="http://schemas.microsoft.com/office/word/2010/wordprocessingShape">
                    <wps:wsp>
                      <wps:cNvSpPr txBox="1"/>
                      <wps:spPr>
                        <a:xfrm>
                          <a:off x="0" y="0"/>
                          <a:ext cx="519430" cy="2622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b/>
                                <w:bCs/>
                                <w:sz w:val="44"/>
                                <w:szCs w:val="44"/>
                              </w:rPr>
                            </w:pPr>
                          </w:p>
                        </w:txbxContent>
                      </wps:txbx>
                      <wps:bodyPr upright="1"/>
                    </wps:wsp>
                  </a:graphicData>
                </a:graphic>
              </wp:anchor>
            </w:drawing>
          </mc:Choice>
          <mc:Fallback>
            <w:pict>
              <v:shape id="_x0000_s1026" o:spid="_x0000_s1026" o:spt="202" type="#_x0000_t202" style="position:absolute;left:0pt;margin-left:337.45pt;margin-top:26.35pt;height:20.65pt;width:40.9pt;visibility:hidden;z-index:503316480;mso-width-relative:page;mso-height-relative:page;" fillcolor="#FFFFFF" filled="t" stroked="t" coordsize="21600,21600" o:gfxdata="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5ljJ2AAAAAkBAAAPAAAAAAAAAAEAIAAAACIAAABkcnMvZG93bnJldi54bWxQSwECFAAU&#10;AAAACACHTuJAAoYtX/EBAADyAwAADgAAAAAAAAABACAAAAAnAQAAZHJzL2Uyb0RvYy54bWxQSwUG&#10;AAAAAAYABgBZAQAAigUAAAAA&#10;">
                <v:fill on="t" focussize="0,0"/>
                <v:stroke color="#000000" joinstyle="miter"/>
                <v:imagedata o:title=""/>
                <o:lock v:ext="edit" aspectratio="f"/>
                <v:textbox>
                  <w:txbxContent>
                    <w:p>
                      <w:pPr>
                        <w:rPr>
                          <w:rFonts w:hint="eastAsia"/>
                          <w:b/>
                          <w:bCs/>
                          <w:sz w:val="44"/>
                          <w:szCs w:val="44"/>
                        </w:rPr>
                      </w:pPr>
                    </w:p>
                  </w:txbxContent>
                </v:textbox>
              </v:shape>
            </w:pict>
          </mc:Fallback>
        </mc:AlternateContent>
      </w:r>
    </w:p>
    <w:p>
      <w:pPr>
        <w:jc w:val="center"/>
        <w:rPr>
          <w:rFonts w:hint="eastAsia"/>
          <w:b/>
          <w:color w:val="auto"/>
          <w:sz w:val="44"/>
          <w:szCs w:val="44"/>
        </w:rPr>
      </w:pPr>
    </w:p>
    <w:p>
      <w:pPr>
        <w:pStyle w:val="16"/>
        <w:rPr>
          <w:rFonts w:hint="eastAsia"/>
          <w:color w:val="auto"/>
        </w:rPr>
      </w:pPr>
    </w:p>
    <w:p>
      <w:pPr>
        <w:pStyle w:val="5"/>
        <w:rPr>
          <w:color w:val="auto"/>
        </w:rPr>
      </w:pPr>
    </w:p>
    <w:p>
      <w:pPr>
        <w:jc w:val="center"/>
        <w:rPr>
          <w:b/>
          <w:color w:val="auto"/>
          <w:sz w:val="72"/>
          <w:szCs w:val="72"/>
        </w:rPr>
      </w:pPr>
      <w:bookmarkStart w:id="82" w:name="_Toc26431"/>
      <w:r>
        <w:rPr>
          <w:rFonts w:hint="eastAsia"/>
          <w:b/>
          <w:color w:val="auto"/>
          <w:sz w:val="72"/>
          <w:szCs w:val="72"/>
        </w:rPr>
        <w:t>投标文件</w:t>
      </w:r>
      <w:bookmarkEnd w:id="82"/>
    </w:p>
    <w:p>
      <w:pPr>
        <w:rPr>
          <w:b/>
          <w:color w:val="auto"/>
          <w:sz w:val="44"/>
          <w:szCs w:val="44"/>
        </w:rPr>
      </w:pPr>
    </w:p>
    <w:p>
      <w:pPr>
        <w:pStyle w:val="16"/>
      </w:pPr>
    </w:p>
    <w:p>
      <w:pPr>
        <w:rPr>
          <w:rFonts w:hint="eastAsia" w:eastAsia="宋体"/>
          <w:b/>
          <w:color w:val="auto"/>
          <w:sz w:val="32"/>
          <w:szCs w:val="32"/>
          <w:lang w:eastAsia="zh-CN"/>
        </w:rPr>
      </w:pPr>
      <w:r>
        <w:rPr>
          <w:rFonts w:hint="eastAsia"/>
          <w:b/>
          <w:color w:val="auto"/>
          <w:sz w:val="32"/>
          <w:szCs w:val="32"/>
          <w:lang w:eastAsia="zh-CN"/>
        </w:rPr>
        <w:t>项目</w:t>
      </w:r>
      <w:r>
        <w:rPr>
          <w:rFonts w:hint="eastAsia"/>
          <w:b/>
          <w:color w:val="auto"/>
          <w:sz w:val="32"/>
        </w:rPr>
        <w:t>编号</w:t>
      </w:r>
      <w:r>
        <w:rPr>
          <w:rFonts w:hint="eastAsia"/>
          <w:b/>
          <w:color w:val="auto"/>
          <w:sz w:val="32"/>
          <w:szCs w:val="32"/>
          <w:lang w:eastAsia="zh-CN"/>
        </w:rPr>
        <w:t>：</w:t>
      </w:r>
    </w:p>
    <w:p>
      <w:pPr>
        <w:jc w:val="both"/>
        <w:rPr>
          <w:b/>
          <w:color w:val="auto"/>
          <w:sz w:val="32"/>
        </w:rPr>
      </w:pPr>
      <w:bookmarkStart w:id="83" w:name="_Toc23044"/>
      <w:r>
        <w:rPr>
          <w:rFonts w:hint="eastAsia"/>
          <w:b/>
          <w:color w:val="auto"/>
          <w:sz w:val="32"/>
          <w:lang w:eastAsia="zh-CN"/>
        </w:rPr>
        <w:t>项目</w:t>
      </w:r>
      <w:r>
        <w:rPr>
          <w:rFonts w:hint="eastAsia"/>
          <w:b/>
          <w:color w:val="auto"/>
          <w:sz w:val="32"/>
          <w:szCs w:val="32"/>
          <w:lang w:eastAsia="zh-CN"/>
        </w:rPr>
        <w:t>名称</w:t>
      </w:r>
      <w:r>
        <w:rPr>
          <w:b/>
          <w:color w:val="auto"/>
          <w:sz w:val="32"/>
        </w:rPr>
        <w:t>:</w:t>
      </w:r>
      <w:bookmarkEnd w:id="83"/>
    </w:p>
    <w:p>
      <w:pPr>
        <w:pStyle w:val="9"/>
        <w:rPr>
          <w:color w:val="auto"/>
        </w:rPr>
      </w:pPr>
    </w:p>
    <w:p>
      <w:pPr>
        <w:pStyle w:val="9"/>
        <w:rPr>
          <w:color w:val="auto"/>
        </w:rPr>
      </w:pPr>
    </w:p>
    <w:p>
      <w:pPr>
        <w:jc w:val="center"/>
        <w:rPr>
          <w:color w:val="auto"/>
        </w:rPr>
      </w:pPr>
    </w:p>
    <w:p>
      <w:pPr>
        <w:jc w:val="center"/>
        <w:rPr>
          <w:color w:val="auto"/>
        </w:rPr>
      </w:pPr>
    </w:p>
    <w:p>
      <w:pPr>
        <w:jc w:val="center"/>
        <w:rPr>
          <w:color w:val="auto"/>
        </w:rPr>
      </w:pPr>
    </w:p>
    <w:p>
      <w:pPr>
        <w:ind w:firstLine="1928" w:firstLineChars="600"/>
        <w:rPr>
          <w:b/>
          <w:color w:val="auto"/>
          <w:sz w:val="32"/>
          <w:szCs w:val="32"/>
          <w:u w:val="single"/>
        </w:rPr>
      </w:pPr>
      <w:bookmarkStart w:id="84" w:name="_Toc12572"/>
      <w:r>
        <w:rPr>
          <w:rFonts w:hint="eastAsia"/>
          <w:b/>
          <w:color w:val="auto"/>
          <w:sz w:val="32"/>
          <w:szCs w:val="32"/>
        </w:rPr>
        <w:t>投标单位（电子签章）：</w:t>
      </w:r>
      <w:bookmarkEnd w:id="84"/>
    </w:p>
    <w:p>
      <w:pPr>
        <w:ind w:firstLine="1928" w:firstLineChars="600"/>
        <w:jc w:val="both"/>
        <w:rPr>
          <w:color w:val="auto"/>
        </w:rPr>
      </w:pPr>
      <w:r>
        <w:rPr>
          <w:b/>
          <w:color w:val="auto"/>
          <w:sz w:val="32"/>
          <w:szCs w:val="32"/>
        </w:rPr>
        <w:t>通信地址：</w:t>
      </w:r>
    </w:p>
    <w:p>
      <w:pPr>
        <w:ind w:firstLine="1928" w:firstLineChars="600"/>
        <w:rPr>
          <w:rFonts w:hint="eastAsia"/>
          <w:b/>
          <w:color w:val="auto"/>
          <w:sz w:val="32"/>
          <w:szCs w:val="32"/>
        </w:rPr>
      </w:pPr>
      <w:bookmarkStart w:id="85" w:name="_Toc492299632"/>
      <w:bookmarkStart w:id="86" w:name="_Toc492299318"/>
      <w:bookmarkStart w:id="87" w:name="_Toc519087074"/>
      <w:bookmarkStart w:id="88" w:name="_Toc32490"/>
      <w:bookmarkStart w:id="89" w:name="_Toc466014528"/>
      <w:r>
        <w:rPr>
          <w:rFonts w:hint="eastAsia"/>
          <w:b/>
          <w:color w:val="auto"/>
          <w:sz w:val="32"/>
          <w:szCs w:val="32"/>
        </w:rPr>
        <w:t>日期：</w:t>
      </w:r>
      <w:r>
        <w:rPr>
          <w:rFonts w:hint="eastAsia"/>
          <w:b/>
          <w:color w:val="auto"/>
          <w:sz w:val="32"/>
          <w:szCs w:val="32"/>
          <w:u w:val="single"/>
        </w:rPr>
        <w:t xml:space="preserve">       </w:t>
      </w:r>
      <w:r>
        <w:rPr>
          <w:rFonts w:hint="eastAsia"/>
          <w:b/>
          <w:color w:val="auto"/>
          <w:sz w:val="32"/>
          <w:szCs w:val="32"/>
        </w:rPr>
        <w:t>年</w:t>
      </w:r>
      <w:r>
        <w:rPr>
          <w:rFonts w:hint="eastAsia"/>
          <w:b/>
          <w:color w:val="auto"/>
          <w:sz w:val="32"/>
          <w:szCs w:val="32"/>
          <w:u w:val="single"/>
        </w:rPr>
        <w:t xml:space="preserve">   </w:t>
      </w:r>
      <w:r>
        <w:rPr>
          <w:b/>
          <w:color w:val="auto"/>
          <w:sz w:val="32"/>
          <w:szCs w:val="32"/>
          <w:u w:val="single"/>
        </w:rPr>
        <w:t xml:space="preserve"> </w:t>
      </w:r>
      <w:r>
        <w:rPr>
          <w:rFonts w:hint="eastAsia"/>
          <w:b/>
          <w:color w:val="auto"/>
          <w:sz w:val="32"/>
          <w:szCs w:val="32"/>
          <w:u w:val="single"/>
        </w:rPr>
        <w:t xml:space="preserve">   </w:t>
      </w:r>
      <w:r>
        <w:rPr>
          <w:rFonts w:hint="eastAsia"/>
          <w:b/>
          <w:color w:val="auto"/>
          <w:sz w:val="32"/>
          <w:szCs w:val="32"/>
        </w:rPr>
        <w:t>月</w:t>
      </w:r>
      <w:r>
        <w:rPr>
          <w:rFonts w:hint="eastAsia"/>
          <w:b/>
          <w:color w:val="auto"/>
          <w:sz w:val="32"/>
          <w:szCs w:val="32"/>
          <w:u w:val="single"/>
        </w:rPr>
        <w:t xml:space="preserve">       </w:t>
      </w:r>
      <w:r>
        <w:rPr>
          <w:rFonts w:hint="eastAsia"/>
          <w:b/>
          <w:color w:val="auto"/>
          <w:sz w:val="32"/>
          <w:szCs w:val="32"/>
        </w:rPr>
        <w:t>日</w:t>
      </w:r>
      <w:bookmarkEnd w:id="85"/>
      <w:bookmarkEnd w:id="86"/>
      <w:bookmarkEnd w:id="87"/>
      <w:bookmarkEnd w:id="88"/>
      <w:bookmarkEnd w:id="89"/>
    </w:p>
    <w:p>
      <w:pPr>
        <w:spacing w:before="312" w:beforeLines="100" w:after="156" w:afterLines="50"/>
        <w:outlineLvl w:val="1"/>
        <w:rPr>
          <w:rFonts w:hint="eastAsia" w:ascii="宋体" w:hAnsi="宋体"/>
          <w:b/>
          <w:color w:val="auto"/>
          <w:sz w:val="24"/>
          <w:szCs w:val="24"/>
        </w:rPr>
      </w:pPr>
      <w:r>
        <w:rPr>
          <w:rFonts w:hint="eastAsia" w:ascii="宋体" w:hAnsi="宋体"/>
          <w:b/>
          <w:color w:val="auto"/>
          <w:sz w:val="24"/>
          <w:szCs w:val="24"/>
        </w:rPr>
        <w:t>（二）投标文件内容格式</w:t>
      </w:r>
    </w:p>
    <w:p>
      <w:pPr>
        <w:spacing w:line="360" w:lineRule="auto"/>
        <w:rPr>
          <w:rFonts w:hint="eastAsia" w:ascii="宋体" w:hAnsi="宋体"/>
          <w:b/>
          <w:bCs/>
          <w:color w:val="auto"/>
          <w:sz w:val="24"/>
          <w:szCs w:val="24"/>
        </w:rPr>
      </w:pPr>
      <w:r>
        <w:rPr>
          <w:rFonts w:hint="eastAsia" w:ascii="宋体" w:hAnsi="宋体"/>
          <w:b/>
          <w:bCs/>
          <w:color w:val="auto"/>
          <w:sz w:val="24"/>
          <w:szCs w:val="24"/>
        </w:rPr>
        <w:t>附件1 资格证明文件</w:t>
      </w:r>
    </w:p>
    <w:p>
      <w:pPr>
        <w:spacing w:line="360" w:lineRule="auto"/>
        <w:rPr>
          <w:rFonts w:hint="eastAsia" w:ascii="宋体" w:hAnsi="宋体"/>
          <w:b/>
          <w:color w:val="auto"/>
          <w:sz w:val="24"/>
          <w:szCs w:val="24"/>
        </w:rPr>
      </w:pPr>
      <w:r>
        <w:rPr>
          <w:rFonts w:hint="eastAsia" w:ascii="宋体" w:hAnsi="宋体"/>
          <w:b/>
          <w:color w:val="auto"/>
          <w:sz w:val="24"/>
          <w:szCs w:val="24"/>
        </w:rPr>
        <w:t>附件1-1 ★营业执照</w:t>
      </w:r>
      <w:r>
        <w:rPr>
          <w:rFonts w:hint="eastAsia" w:ascii="宋体" w:hAnsi="宋体"/>
          <w:b/>
          <w:color w:val="auto"/>
          <w:sz w:val="24"/>
          <w:szCs w:val="24"/>
          <w:lang w:eastAsia="zh-CN"/>
        </w:rPr>
        <w:t>扫描件加盖</w:t>
      </w:r>
      <w:r>
        <w:rPr>
          <w:rFonts w:hint="eastAsia" w:ascii="宋体" w:hAnsi="宋体"/>
          <w:b/>
          <w:color w:val="auto"/>
          <w:sz w:val="24"/>
          <w:szCs w:val="24"/>
        </w:rPr>
        <w:t>投标人公章（电子签章）</w:t>
      </w:r>
    </w:p>
    <w:p>
      <w:pPr>
        <w:spacing w:line="360" w:lineRule="auto"/>
        <w:ind w:left="590" w:hanging="590" w:hangingChars="245"/>
        <w:rPr>
          <w:rFonts w:hint="eastAsia" w:ascii="宋体" w:hAnsi="宋体"/>
          <w:b/>
          <w:color w:val="auto"/>
          <w:sz w:val="24"/>
          <w:szCs w:val="24"/>
        </w:rPr>
      </w:pPr>
      <w:r>
        <w:rPr>
          <w:rFonts w:hint="eastAsia" w:ascii="宋体" w:hAnsi="宋体"/>
          <w:b/>
          <w:color w:val="auto"/>
          <w:sz w:val="24"/>
          <w:szCs w:val="24"/>
        </w:rPr>
        <w:t>附件1-2★法定代表人声明或法定代表人授权书</w:t>
      </w:r>
    </w:p>
    <w:p>
      <w:pPr>
        <w:spacing w:line="360" w:lineRule="auto"/>
        <w:ind w:left="590" w:hanging="590" w:hangingChars="245"/>
        <w:rPr>
          <w:rFonts w:hint="eastAsia" w:ascii="宋体" w:hAnsi="宋体"/>
          <w:b/>
          <w:color w:val="auto"/>
          <w:kern w:val="0"/>
          <w:sz w:val="24"/>
          <w:szCs w:val="24"/>
        </w:rPr>
      </w:pPr>
      <w:r>
        <w:rPr>
          <w:rFonts w:hint="eastAsia" w:ascii="宋体" w:hAnsi="宋体"/>
          <w:b/>
          <w:color w:val="auto"/>
          <w:sz w:val="24"/>
          <w:szCs w:val="24"/>
        </w:rPr>
        <w:t>1-2-1法定代表人声明：</w:t>
      </w:r>
      <w:r>
        <w:rPr>
          <w:rFonts w:hint="eastAsia" w:hAnsi="宋体"/>
          <w:b/>
          <w:color w:val="auto"/>
          <w:kern w:val="0"/>
          <w:sz w:val="24"/>
          <w:szCs w:val="24"/>
        </w:rPr>
        <w:t>法定代表人</w:t>
      </w:r>
      <w:r>
        <w:rPr>
          <w:rFonts w:hint="eastAsia" w:hAnsi="宋体"/>
          <w:b/>
          <w:color w:val="auto"/>
          <w:kern w:val="0"/>
          <w:sz w:val="24"/>
          <w:szCs w:val="24"/>
          <w:lang w:eastAsia="zh-CN"/>
        </w:rPr>
        <w:t>参与投标时</w:t>
      </w:r>
      <w:r>
        <w:rPr>
          <w:rFonts w:hint="eastAsia" w:hAnsi="宋体"/>
          <w:b/>
          <w:color w:val="auto"/>
          <w:kern w:val="0"/>
          <w:sz w:val="24"/>
          <w:szCs w:val="24"/>
        </w:rPr>
        <w:t>须填写法定代表人声明</w:t>
      </w:r>
    </w:p>
    <w:p>
      <w:pPr>
        <w:pStyle w:val="16"/>
        <w:ind w:left="0" w:leftChars="0" w:firstLine="0" w:firstLineChars="0"/>
        <w:jc w:val="center"/>
        <w:rPr>
          <w:rFonts w:hint="eastAsia"/>
          <w:b/>
          <w:bCs/>
          <w:color w:val="auto"/>
          <w:sz w:val="24"/>
          <w:szCs w:val="24"/>
        </w:rPr>
      </w:pPr>
      <w:r>
        <w:rPr>
          <w:rFonts w:hint="eastAsia"/>
          <w:b/>
          <w:bCs/>
          <w:color w:val="auto"/>
          <w:sz w:val="24"/>
          <w:szCs w:val="24"/>
        </w:rPr>
        <w:t>法定代表人声明</w:t>
      </w:r>
    </w:p>
    <w:p>
      <w:pPr>
        <w:pStyle w:val="16"/>
        <w:tabs>
          <w:tab w:val="left" w:pos="0"/>
        </w:tabs>
        <w:ind w:left="0" w:leftChars="0" w:firstLine="477" w:firstLineChars="199"/>
        <w:jc w:val="left"/>
        <w:rPr>
          <w:rFonts w:hint="eastAsia"/>
          <w:color w:val="auto"/>
          <w:sz w:val="24"/>
          <w:szCs w:val="24"/>
        </w:rPr>
      </w:pPr>
      <w:r>
        <w:rPr>
          <w:rFonts w:hint="eastAsia"/>
          <w:color w:val="auto"/>
          <w:sz w:val="24"/>
          <w:szCs w:val="24"/>
        </w:rPr>
        <w:t>本人（姓名：___________）（身份证号：___________）系（单位名称：___________）的法定代表人，现就（项目名称：___________）（采购编号：___________）的采购，代表本单位处理一切与之有关的事务。</w:t>
      </w:r>
    </w:p>
    <w:p>
      <w:pPr>
        <w:pStyle w:val="16"/>
        <w:ind w:left="681" w:leftChars="200" w:hanging="201" w:hangingChars="84"/>
        <w:rPr>
          <w:rFonts w:hint="eastAsia"/>
          <w:color w:val="auto"/>
          <w:sz w:val="24"/>
          <w:szCs w:val="24"/>
        </w:rPr>
      </w:pPr>
      <w:r>
        <w:rPr>
          <w:rFonts w:hint="eastAsia"/>
          <w:color w:val="auto"/>
          <w:sz w:val="24"/>
          <w:szCs w:val="24"/>
        </w:rPr>
        <w:t>特此声明。</w:t>
      </w:r>
    </w:p>
    <w:p>
      <w:pPr>
        <w:tabs>
          <w:tab w:val="left" w:pos="630"/>
        </w:tabs>
        <w:adjustRightInd w:val="0"/>
        <w:snapToGrid w:val="0"/>
        <w:spacing w:before="156" w:beforeLines="50" w:after="156" w:afterLines="50"/>
        <w:ind w:left="5450" w:hanging="5450" w:hangingChars="2271"/>
        <w:rPr>
          <w:rFonts w:hint="eastAsia" w:ascii="宋体" w:hAnsi="宋体"/>
          <w:color w:val="auto"/>
          <w:sz w:val="24"/>
          <w:szCs w:val="24"/>
        </w:rPr>
      </w:pPr>
      <w:r>
        <w:rPr>
          <w:rFonts w:hint="eastAsia" w:ascii="宋体" w:hAnsi="宋体"/>
          <w:color w:val="auto"/>
          <w:sz w:val="24"/>
          <w:szCs w:val="24"/>
        </w:rPr>
        <w:t>法定代表人签字(或名章)：</w:t>
      </w:r>
    </w:p>
    <w:p>
      <w:pPr>
        <w:tabs>
          <w:tab w:val="left" w:pos="630"/>
        </w:tabs>
        <w:adjustRightInd w:val="0"/>
        <w:snapToGrid w:val="0"/>
        <w:spacing w:before="156" w:beforeLines="50" w:after="156" w:afterLines="50"/>
        <w:ind w:left="5450" w:hanging="5450" w:hangingChars="2271"/>
        <w:rPr>
          <w:rFonts w:hint="eastAsia" w:ascii="宋体" w:hAnsi="宋体"/>
          <w:color w:val="auto"/>
          <w:sz w:val="24"/>
          <w:szCs w:val="24"/>
        </w:rPr>
      </w:pPr>
      <w:r>
        <w:rPr>
          <w:rFonts w:hint="eastAsia" w:ascii="宋体" w:hAnsi="宋体"/>
          <w:color w:val="auto"/>
          <w:sz w:val="24"/>
          <w:szCs w:val="24"/>
        </w:rPr>
        <w:t>投标人公章（电子签章）：</w:t>
      </w:r>
    </w:p>
    <w:p>
      <w:pPr>
        <w:tabs>
          <w:tab w:val="left" w:pos="630"/>
        </w:tabs>
        <w:adjustRightInd w:val="0"/>
        <w:snapToGrid w:val="0"/>
        <w:spacing w:before="156" w:beforeLines="50" w:after="156" w:afterLines="50"/>
        <w:rPr>
          <w:rFonts w:hint="eastAsia" w:ascii="宋体" w:hAnsi="宋体"/>
          <w:color w:val="auto"/>
          <w:spacing w:val="30"/>
          <w:sz w:val="24"/>
          <w:szCs w:val="24"/>
        </w:rPr>
      </w:pPr>
      <w:r>
        <w:rPr>
          <w:rFonts w:hint="eastAsia" w:ascii="宋体" w:hAnsi="宋体"/>
          <w:color w:val="auto"/>
          <w:sz w:val="24"/>
          <w:szCs w:val="24"/>
        </w:rPr>
        <w:t>身份证号码</w:t>
      </w:r>
      <w:r>
        <w:rPr>
          <w:rFonts w:hint="eastAsia" w:ascii="宋体" w:hAnsi="宋体"/>
          <w:color w:val="auto"/>
          <w:spacing w:val="30"/>
          <w:sz w:val="24"/>
          <w:szCs w:val="24"/>
        </w:rPr>
        <w:t>：</w:t>
      </w:r>
    </w:p>
    <w:p>
      <w:pPr>
        <w:tabs>
          <w:tab w:val="left" w:pos="630"/>
        </w:tabs>
        <w:adjustRightInd w:val="0"/>
        <w:snapToGrid w:val="0"/>
        <w:spacing w:before="156" w:beforeLines="50" w:after="156" w:afterLines="50"/>
        <w:rPr>
          <w:rFonts w:hint="eastAsia" w:ascii="宋体" w:hAnsi="宋体"/>
          <w:color w:val="auto"/>
          <w:spacing w:val="30"/>
          <w:sz w:val="24"/>
          <w:szCs w:val="24"/>
        </w:rPr>
      </w:pPr>
      <w:r>
        <w:rPr>
          <w:rFonts w:hint="eastAsia" w:ascii="宋体" w:hAnsi="宋体"/>
          <w:color w:val="auto"/>
          <w:sz w:val="24"/>
          <w:szCs w:val="24"/>
        </w:rPr>
        <w:t>手      机：</w:t>
      </w:r>
    </w:p>
    <w:p>
      <w:pPr>
        <w:pStyle w:val="16"/>
        <w:ind w:left="0" w:leftChars="0" w:firstLine="0" w:firstLineChars="0"/>
        <w:jc w:val="left"/>
        <w:rPr>
          <w:rFonts w:hint="eastAsia"/>
          <w:color w:val="auto"/>
          <w:sz w:val="24"/>
          <w:szCs w:val="24"/>
        </w:rPr>
      </w:pPr>
      <w:r>
        <w:rPr>
          <w:rFonts w:hint="eastAsia"/>
          <w:color w:val="auto"/>
          <w:sz w:val="24"/>
          <w:szCs w:val="24"/>
        </w:rPr>
        <w:t>附：法定代表人身份证</w:t>
      </w:r>
      <w:r>
        <w:rPr>
          <w:rFonts w:hint="eastAsia"/>
          <w:color w:val="auto"/>
          <w:sz w:val="24"/>
          <w:szCs w:val="24"/>
          <w:lang w:eastAsia="zh-CN"/>
        </w:rPr>
        <w:t>电子版</w:t>
      </w:r>
      <w:r>
        <w:rPr>
          <w:rFonts w:hint="eastAsia"/>
          <w:color w:val="auto"/>
          <w:sz w:val="24"/>
          <w:szCs w:val="24"/>
        </w:rPr>
        <w:t>加盖投标人公章（电子签章）</w:t>
      </w:r>
    </w:p>
    <w:p>
      <w:pPr>
        <w:spacing w:line="360" w:lineRule="auto"/>
        <w:ind w:left="590" w:hanging="590" w:hangingChars="245"/>
        <w:rPr>
          <w:rFonts w:hint="eastAsia" w:ascii="宋体" w:hAnsi="宋体"/>
          <w:b/>
          <w:color w:val="auto"/>
          <w:sz w:val="24"/>
          <w:szCs w:val="24"/>
        </w:rPr>
      </w:pPr>
      <w:r>
        <w:rPr>
          <w:rFonts w:hint="eastAsia" w:ascii="宋体" w:hAnsi="宋体"/>
          <w:b/>
          <w:color w:val="auto"/>
          <w:sz w:val="24"/>
          <w:szCs w:val="24"/>
        </w:rPr>
        <w:t>1-2-2法定代表人授权书（法定代表人不能参与投标时必须出具）</w:t>
      </w:r>
    </w:p>
    <w:p>
      <w:pPr>
        <w:spacing w:before="312" w:beforeLines="100" w:line="360" w:lineRule="auto"/>
        <w:jc w:val="center"/>
        <w:rPr>
          <w:rFonts w:hint="eastAsia" w:ascii="宋体" w:hAnsi="宋体"/>
          <w:b/>
          <w:color w:val="auto"/>
          <w:sz w:val="24"/>
          <w:szCs w:val="24"/>
        </w:rPr>
      </w:pPr>
      <w:r>
        <w:rPr>
          <w:rFonts w:hint="eastAsia" w:ascii="宋体" w:hAnsi="宋体"/>
          <w:b/>
          <w:color w:val="auto"/>
          <w:sz w:val="24"/>
          <w:szCs w:val="24"/>
        </w:rPr>
        <w:t>法定代表人授权书</w:t>
      </w:r>
    </w:p>
    <w:p>
      <w:pPr>
        <w:tabs>
          <w:tab w:val="left" w:pos="630"/>
        </w:tabs>
        <w:adjustRightInd w:val="0"/>
        <w:snapToGrid w:val="0"/>
        <w:spacing w:before="156" w:beforeLines="50" w:after="312" w:afterLines="100"/>
        <w:rPr>
          <w:rFonts w:hint="eastAsia" w:ascii="宋体" w:hAnsi="宋体"/>
          <w:color w:val="auto"/>
          <w:sz w:val="24"/>
          <w:szCs w:val="24"/>
        </w:rPr>
      </w:pPr>
      <w:r>
        <w:rPr>
          <w:rFonts w:hint="eastAsia" w:ascii="宋体" w:hAnsi="宋体"/>
          <w:color w:val="auto"/>
          <w:sz w:val="24"/>
          <w:szCs w:val="24"/>
        </w:rPr>
        <w:t>北京市石景山区政府采购中心：</w:t>
      </w:r>
    </w:p>
    <w:p>
      <w:pPr>
        <w:tabs>
          <w:tab w:val="left" w:pos="630"/>
        </w:tabs>
        <w:adjustRightInd w:val="0"/>
        <w:snapToGrid w:val="0"/>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本授权书声明：注册于</w:t>
      </w:r>
      <w:r>
        <w:rPr>
          <w:rFonts w:hint="eastAsia" w:ascii="宋体" w:hAnsi="宋体"/>
          <w:color w:val="auto"/>
          <w:sz w:val="24"/>
          <w:szCs w:val="24"/>
          <w:u w:val="single"/>
        </w:rPr>
        <w:t>（国家或地区的名称）</w:t>
      </w:r>
      <w:r>
        <w:rPr>
          <w:rFonts w:hint="eastAsia" w:ascii="宋体" w:hAnsi="宋体"/>
          <w:color w:val="auto"/>
          <w:sz w:val="24"/>
          <w:szCs w:val="24"/>
        </w:rPr>
        <w:t>的</w:t>
      </w:r>
      <w:r>
        <w:rPr>
          <w:rFonts w:hint="eastAsia" w:ascii="宋体" w:hAnsi="宋体"/>
          <w:color w:val="auto"/>
          <w:sz w:val="24"/>
          <w:szCs w:val="24"/>
          <w:u w:val="single"/>
        </w:rPr>
        <w:t>（公司名称）</w:t>
      </w:r>
      <w:r>
        <w:rPr>
          <w:rFonts w:hint="eastAsia" w:ascii="宋体" w:hAnsi="宋体"/>
          <w:color w:val="auto"/>
          <w:sz w:val="24"/>
          <w:szCs w:val="24"/>
        </w:rPr>
        <w:t>的</w:t>
      </w:r>
      <w:r>
        <w:rPr>
          <w:rFonts w:hint="eastAsia" w:ascii="宋体" w:hAnsi="宋体"/>
          <w:color w:val="auto"/>
          <w:sz w:val="24"/>
          <w:szCs w:val="24"/>
          <w:u w:val="single"/>
        </w:rPr>
        <w:t>（法定代表人姓名、职务）</w:t>
      </w:r>
      <w:r>
        <w:rPr>
          <w:rFonts w:hint="eastAsia" w:ascii="宋体" w:hAnsi="宋体"/>
          <w:color w:val="auto"/>
          <w:sz w:val="24"/>
          <w:szCs w:val="24"/>
        </w:rPr>
        <w:t>代表本公司授权</w:t>
      </w:r>
      <w:r>
        <w:rPr>
          <w:rFonts w:hint="eastAsia" w:ascii="宋体" w:hAnsi="宋体"/>
          <w:color w:val="auto"/>
          <w:sz w:val="24"/>
          <w:szCs w:val="24"/>
          <w:u w:val="single"/>
        </w:rPr>
        <w:t>（被授权人的姓名、职务）</w:t>
      </w:r>
      <w:r>
        <w:rPr>
          <w:rFonts w:hint="eastAsia" w:ascii="宋体" w:hAnsi="宋体"/>
          <w:color w:val="auto"/>
          <w:sz w:val="24"/>
          <w:szCs w:val="24"/>
        </w:rPr>
        <w:t>为本公司的合法代理人，就</w:t>
      </w:r>
      <w:r>
        <w:rPr>
          <w:rFonts w:hint="eastAsia" w:ascii="宋体" w:hAnsi="宋体"/>
          <w:color w:val="auto"/>
          <w:sz w:val="24"/>
          <w:szCs w:val="24"/>
          <w:u w:val="single"/>
        </w:rPr>
        <w:t>项目名称（项目编号）</w:t>
      </w:r>
      <w:r>
        <w:rPr>
          <w:rFonts w:hint="eastAsia" w:ascii="宋体" w:hAnsi="宋体"/>
          <w:color w:val="auto"/>
          <w:sz w:val="24"/>
          <w:szCs w:val="24"/>
        </w:rPr>
        <w:t>的投标，以本公司名义处理一切与之有关的事务。</w:t>
      </w:r>
    </w:p>
    <w:p>
      <w:pPr>
        <w:tabs>
          <w:tab w:val="left" w:pos="630"/>
        </w:tabs>
        <w:adjustRightInd w:val="0"/>
        <w:snapToGrid w:val="0"/>
        <w:spacing w:before="156" w:beforeLines="50" w:after="156" w:afterLines="50"/>
        <w:ind w:firstLine="480" w:firstLineChars="200"/>
        <w:rPr>
          <w:rFonts w:hint="eastAsia" w:ascii="宋体" w:hAnsi="宋体"/>
          <w:color w:val="auto"/>
          <w:sz w:val="24"/>
          <w:szCs w:val="24"/>
        </w:rPr>
      </w:pPr>
      <w:r>
        <w:rPr>
          <w:rFonts w:hint="eastAsia" w:ascii="宋体" w:hAnsi="宋体"/>
          <w:color w:val="auto"/>
          <w:sz w:val="24"/>
          <w:szCs w:val="24"/>
        </w:rPr>
        <w:t>本授权书于</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日生效,至项目执行完毕为止</w:t>
      </w:r>
      <w:r>
        <w:rPr>
          <w:rFonts w:hint="eastAsia" w:ascii="宋体" w:hAnsi="宋体"/>
          <w:color w:val="auto"/>
          <w:sz w:val="24"/>
          <w:szCs w:val="24"/>
          <w:lang w:eastAsia="zh-CN"/>
        </w:rPr>
        <w:t>，</w:t>
      </w:r>
      <w:r>
        <w:rPr>
          <w:rFonts w:hint="eastAsia" w:ascii="宋体" w:hAnsi="宋体"/>
          <w:color w:val="auto"/>
          <w:sz w:val="24"/>
          <w:szCs w:val="24"/>
        </w:rPr>
        <w:t>特此声明。</w:t>
      </w:r>
    </w:p>
    <w:p>
      <w:pPr>
        <w:tabs>
          <w:tab w:val="left" w:pos="630"/>
        </w:tabs>
        <w:adjustRightInd w:val="0"/>
        <w:snapToGrid w:val="0"/>
        <w:spacing w:before="156" w:beforeLines="50" w:after="156" w:afterLines="50"/>
        <w:ind w:left="5450" w:hanging="5450" w:hangingChars="2271"/>
        <w:rPr>
          <w:rFonts w:hint="eastAsia" w:ascii="宋体" w:hAnsi="宋体"/>
          <w:color w:val="auto"/>
          <w:sz w:val="24"/>
          <w:szCs w:val="24"/>
        </w:rPr>
      </w:pPr>
      <w:r>
        <w:rPr>
          <w:rFonts w:hint="eastAsia" w:ascii="宋体" w:hAnsi="宋体"/>
          <w:color w:val="auto"/>
          <w:sz w:val="24"/>
          <w:szCs w:val="24"/>
        </w:rPr>
        <w:t>投标人公章（电子签章）：</w:t>
      </w:r>
    </w:p>
    <w:p>
      <w:pPr>
        <w:tabs>
          <w:tab w:val="left" w:pos="630"/>
        </w:tabs>
        <w:adjustRightInd w:val="0"/>
        <w:snapToGrid w:val="0"/>
        <w:spacing w:before="156" w:beforeLines="50" w:after="156" w:afterLines="50"/>
        <w:rPr>
          <w:rFonts w:hint="eastAsia" w:ascii="宋体" w:hAnsi="宋体"/>
          <w:color w:val="auto"/>
          <w:sz w:val="24"/>
          <w:szCs w:val="24"/>
        </w:rPr>
      </w:pPr>
      <w:r>
        <w:rPr>
          <w:rFonts w:hint="eastAsia" w:ascii="宋体" w:hAnsi="宋体"/>
          <w:color w:val="auto"/>
          <w:sz w:val="24"/>
          <w:szCs w:val="24"/>
        </w:rPr>
        <w:t>被授权人职务：</w:t>
      </w:r>
    </w:p>
    <w:p>
      <w:pPr>
        <w:tabs>
          <w:tab w:val="left" w:pos="630"/>
        </w:tabs>
        <w:adjustRightInd w:val="0"/>
        <w:snapToGrid w:val="0"/>
        <w:spacing w:before="156" w:beforeLines="50" w:after="156" w:afterLines="50"/>
        <w:rPr>
          <w:rFonts w:hint="eastAsia" w:ascii="宋体" w:hAnsi="宋体"/>
          <w:color w:val="auto"/>
          <w:spacing w:val="30"/>
          <w:sz w:val="24"/>
          <w:szCs w:val="24"/>
        </w:rPr>
      </w:pPr>
      <w:r>
        <w:rPr>
          <w:rFonts w:hint="eastAsia" w:ascii="宋体" w:hAnsi="宋体"/>
          <w:color w:val="auto"/>
          <w:sz w:val="24"/>
          <w:szCs w:val="24"/>
        </w:rPr>
        <w:t>身份证号码</w:t>
      </w:r>
      <w:r>
        <w:rPr>
          <w:rFonts w:hint="eastAsia" w:ascii="宋体" w:hAnsi="宋体"/>
          <w:color w:val="auto"/>
          <w:spacing w:val="30"/>
          <w:sz w:val="24"/>
          <w:szCs w:val="24"/>
        </w:rPr>
        <w:t>：</w:t>
      </w:r>
    </w:p>
    <w:p>
      <w:pPr>
        <w:tabs>
          <w:tab w:val="left" w:pos="630"/>
        </w:tabs>
        <w:adjustRightInd w:val="0"/>
        <w:snapToGrid w:val="0"/>
        <w:spacing w:before="156" w:beforeLines="50" w:after="156" w:afterLines="50"/>
        <w:rPr>
          <w:rFonts w:hint="eastAsia" w:ascii="宋体" w:hAnsi="宋体"/>
          <w:color w:val="auto"/>
          <w:sz w:val="24"/>
          <w:szCs w:val="24"/>
        </w:rPr>
      </w:pPr>
      <w:r>
        <w:rPr>
          <w:rFonts w:hint="eastAsia" w:ascii="宋体" w:hAnsi="宋体"/>
          <w:color w:val="auto"/>
          <w:sz w:val="24"/>
          <w:szCs w:val="24"/>
        </w:rPr>
        <w:t>手      机：</w:t>
      </w:r>
    </w:p>
    <w:p>
      <w:pPr>
        <w:tabs>
          <w:tab w:val="left" w:pos="630"/>
        </w:tabs>
        <w:adjustRightInd w:val="0"/>
        <w:snapToGrid w:val="0"/>
        <w:spacing w:before="156" w:beforeLines="50" w:after="156" w:afterLines="50"/>
        <w:rPr>
          <w:rFonts w:hint="eastAsia" w:ascii="宋体" w:hAnsi="宋体"/>
          <w:color w:val="auto"/>
          <w:sz w:val="24"/>
          <w:szCs w:val="24"/>
        </w:rPr>
      </w:pPr>
      <w:r>
        <w:rPr>
          <w:rFonts w:hint="eastAsia" w:ascii="宋体" w:hAnsi="宋体"/>
          <w:color w:val="auto"/>
          <w:sz w:val="24"/>
          <w:szCs w:val="24"/>
        </w:rPr>
        <w:t>附：</w:t>
      </w:r>
      <w:r>
        <w:rPr>
          <w:rFonts w:hint="eastAsia" w:ascii="宋体" w:hAnsi="宋体"/>
          <w:color w:val="auto"/>
          <w:sz w:val="24"/>
          <w:szCs w:val="24"/>
          <w:lang w:val="en-US" w:eastAsia="zh-CN"/>
        </w:rPr>
        <w:t>（1）</w:t>
      </w:r>
      <w:r>
        <w:rPr>
          <w:rFonts w:hint="eastAsia" w:ascii="宋体" w:hAnsi="宋体"/>
          <w:color w:val="auto"/>
          <w:sz w:val="24"/>
          <w:szCs w:val="24"/>
        </w:rPr>
        <w:t>法定代表人及被授权人身份证电子版加盖投标人公章（电子签章）</w:t>
      </w:r>
    </w:p>
    <w:p>
      <w:pPr>
        <w:pStyle w:val="16"/>
        <w:ind w:left="1200" w:leftChars="0" w:hanging="1200" w:hangingChars="500"/>
        <w:rPr>
          <w:rFonts w:hint="eastAsia" w:eastAsia="宋体"/>
          <w:color w:val="FF0000"/>
          <w:lang w:val="en-US" w:eastAsia="zh-CN"/>
        </w:rPr>
      </w:pPr>
      <w:r>
        <w:rPr>
          <w:rFonts w:hint="eastAsia" w:ascii="宋体" w:hAnsi="宋体"/>
          <w:color w:val="auto"/>
          <w:sz w:val="24"/>
          <w:szCs w:val="24"/>
          <w:lang w:val="en-US" w:eastAsia="zh-CN"/>
        </w:rPr>
        <w:t xml:space="preserve">  </w:t>
      </w:r>
      <w:r>
        <w:rPr>
          <w:rFonts w:hint="eastAsia" w:ascii="宋体" w:hAnsi="宋体"/>
          <w:color w:val="FF0000"/>
          <w:sz w:val="24"/>
          <w:szCs w:val="24"/>
          <w:lang w:val="en-US" w:eastAsia="zh-CN"/>
        </w:rPr>
        <w:t xml:space="preserve">  （2）被授权人在开标前近三个月（连续三个月）的社保缴纳记录加盖投标人公章（电子签章）</w:t>
      </w:r>
    </w:p>
    <w:p>
      <w:pPr>
        <w:rPr>
          <w:rFonts w:hint="eastAsia" w:ascii="宋体" w:hAnsi="宋体"/>
          <w:b/>
          <w:color w:val="auto"/>
          <w:sz w:val="24"/>
        </w:rPr>
      </w:pPr>
    </w:p>
    <w:p>
      <w:pPr>
        <w:rPr>
          <w:rFonts w:hint="eastAsia" w:ascii="宋体" w:hAnsi="宋体"/>
          <w:b/>
          <w:color w:val="auto"/>
          <w:sz w:val="24"/>
        </w:rPr>
      </w:pPr>
      <w:r>
        <w:rPr>
          <w:rFonts w:hint="eastAsia" w:ascii="宋体" w:hAnsi="宋体"/>
          <w:b/>
          <w:color w:val="auto"/>
          <w:sz w:val="24"/>
        </w:rPr>
        <w:t>附件1-</w:t>
      </w:r>
      <w:r>
        <w:rPr>
          <w:rFonts w:hint="eastAsia" w:ascii="宋体" w:hAnsi="宋体"/>
          <w:b/>
          <w:color w:val="auto"/>
          <w:sz w:val="24"/>
          <w:lang w:val="en-US" w:eastAsia="zh-CN"/>
        </w:rPr>
        <w:t>3</w:t>
      </w:r>
      <w:r>
        <w:rPr>
          <w:rFonts w:hint="eastAsia" w:ascii="宋体" w:hAnsi="宋体"/>
          <w:b/>
          <w:color w:val="auto"/>
          <w:sz w:val="24"/>
        </w:rPr>
        <w:t>★投标人资格条件承诺书</w:t>
      </w:r>
    </w:p>
    <w:p>
      <w:pPr>
        <w:pStyle w:val="33"/>
        <w:jc w:val="center"/>
        <w:rPr>
          <w:rFonts w:hint="eastAsia"/>
        </w:rPr>
      </w:pPr>
      <w:r>
        <w:rPr>
          <w:rFonts w:hint="eastAsia" w:ascii="宋体" w:hAnsi="宋体"/>
          <w:b/>
          <w:color w:val="auto"/>
          <w:sz w:val="24"/>
        </w:rPr>
        <w:t>投标人资格条件承诺书</w:t>
      </w: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26"/>
        </w:numPr>
        <w:spacing w:line="360" w:lineRule="auto"/>
        <w:ind w:left="1134"/>
        <w:rPr>
          <w:sz w:val="24"/>
          <w:szCs w:val="24"/>
        </w:rPr>
      </w:pPr>
      <w:r>
        <w:rPr>
          <w:rFonts w:hint="eastAsia" w:ascii="宋体" w:hAnsi="宋体"/>
          <w:sz w:val="24"/>
          <w:szCs w:val="24"/>
        </w:rPr>
        <w:t>具有独立承担民事责任的能力</w:t>
      </w:r>
      <w:r>
        <w:rPr>
          <w:rFonts w:hint="eastAsia" w:ascii="宋体" w:hAnsi="宋体"/>
          <w:sz w:val="24"/>
          <w:szCs w:val="24"/>
          <w:lang w:val="en-US" w:eastAsia="zh-CN"/>
        </w:rPr>
        <w:t>；</w:t>
      </w:r>
    </w:p>
    <w:p>
      <w:pPr>
        <w:numPr>
          <w:ilvl w:val="0"/>
          <w:numId w:val="26"/>
        </w:numPr>
        <w:spacing w:line="360" w:lineRule="auto"/>
        <w:ind w:left="1134"/>
        <w:rPr>
          <w:sz w:val="24"/>
          <w:szCs w:val="22"/>
        </w:rPr>
      </w:pPr>
      <w:r>
        <w:rPr>
          <w:sz w:val="24"/>
          <w:szCs w:val="22"/>
        </w:rPr>
        <w:t>具有良好的商业信誉和健全的财务会计制度；</w:t>
      </w:r>
    </w:p>
    <w:p>
      <w:pPr>
        <w:numPr>
          <w:ilvl w:val="0"/>
          <w:numId w:val="26"/>
        </w:numPr>
        <w:spacing w:line="360" w:lineRule="auto"/>
        <w:ind w:left="1134"/>
        <w:rPr>
          <w:sz w:val="24"/>
          <w:szCs w:val="22"/>
        </w:rPr>
      </w:pPr>
      <w:r>
        <w:rPr>
          <w:sz w:val="24"/>
          <w:szCs w:val="22"/>
        </w:rPr>
        <w:t>具有履行合同所必需的设备和专业技术能力；</w:t>
      </w:r>
    </w:p>
    <w:p>
      <w:pPr>
        <w:numPr>
          <w:ilvl w:val="0"/>
          <w:numId w:val="26"/>
        </w:numPr>
        <w:spacing w:line="360" w:lineRule="auto"/>
        <w:ind w:left="1134"/>
        <w:rPr>
          <w:sz w:val="24"/>
          <w:szCs w:val="22"/>
        </w:rPr>
      </w:pPr>
      <w:r>
        <w:rPr>
          <w:sz w:val="24"/>
          <w:szCs w:val="22"/>
        </w:rPr>
        <w:t>有依法缴纳税收和社会保障资金的良好记录；</w:t>
      </w:r>
    </w:p>
    <w:p>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2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31"/>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rFonts w:hint="eastAsia" w:hAnsi="宋体"/>
          <w:color w:val="auto"/>
        </w:rPr>
        <w:t>投标人公章（电子签章）：</w:t>
      </w:r>
      <w:r>
        <w:rPr>
          <w:color w:val="000000"/>
          <w:sz w:val="24"/>
          <w:lang w:val="zh-CN"/>
        </w:rPr>
        <w:t>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spacing w:line="360" w:lineRule="auto"/>
        <w:ind w:firstLine="480" w:firstLineChars="200"/>
        <w:rPr>
          <w:rFonts w:ascii="宋体" w:hAnsi="宋体"/>
          <w:color w:val="auto"/>
          <w:sz w:val="24"/>
          <w:szCs w:val="24"/>
        </w:rPr>
      </w:pPr>
    </w:p>
    <w:p>
      <w:pPr>
        <w:spacing w:line="300" w:lineRule="auto"/>
        <w:rPr>
          <w:rFonts w:ascii="宋体" w:hAnsi="宋体"/>
          <w:color w:val="auto"/>
          <w:sz w:val="24"/>
          <w:szCs w:val="24"/>
        </w:rPr>
      </w:pPr>
    </w:p>
    <w:p>
      <w:pPr>
        <w:spacing w:line="360" w:lineRule="auto"/>
        <w:jc w:val="left"/>
        <w:rPr>
          <w:rFonts w:hint="eastAsia" w:hAnsi="宋体"/>
          <w:b/>
          <w:color w:val="auto"/>
          <w:sz w:val="24"/>
          <w:szCs w:val="24"/>
        </w:rPr>
      </w:pPr>
      <w:r>
        <w:rPr>
          <w:rFonts w:hint="eastAsia" w:hAnsi="宋体"/>
          <w:b/>
          <w:color w:val="auto"/>
          <w:sz w:val="24"/>
          <w:szCs w:val="24"/>
        </w:rPr>
        <w:t>附件1-</w:t>
      </w:r>
      <w:r>
        <w:rPr>
          <w:rFonts w:hint="eastAsia" w:hAnsi="宋体"/>
          <w:b/>
          <w:color w:val="auto"/>
          <w:sz w:val="24"/>
          <w:szCs w:val="24"/>
          <w:lang w:val="en-US" w:eastAsia="zh-CN"/>
        </w:rPr>
        <w:t xml:space="preserve">4 </w:t>
      </w:r>
      <w:r>
        <w:rPr>
          <w:rFonts w:hint="eastAsia" w:ascii="宋体" w:hAnsi="宋体"/>
          <w:b/>
          <w:color w:val="auto"/>
          <w:sz w:val="24"/>
        </w:rPr>
        <w:t>★</w:t>
      </w:r>
      <w:r>
        <w:rPr>
          <w:rFonts w:hint="eastAsia" w:ascii="宋体" w:hAnsi="宋体"/>
          <w:b/>
          <w:color w:val="auto"/>
          <w:sz w:val="24"/>
          <w:lang w:eastAsia="zh-CN"/>
        </w:rPr>
        <w:t>信用记录：</w:t>
      </w:r>
      <w:r>
        <w:rPr>
          <w:rFonts w:hint="eastAsia" w:hAnsi="宋体"/>
          <w:b/>
          <w:color w:val="auto"/>
          <w:sz w:val="24"/>
          <w:szCs w:val="24"/>
        </w:rPr>
        <w:t>本条为资格性审查事项之一，无须投标人在投标文件中提供。采购人根据财政部《关于在政府采购活动中查询及使用信用记录有关问题的通知》（财库〔2016〕125号）要求，在评审现场通过“信用中国”网站(www.creditchina.gov.cn)、中国政府采购网(www.ccgp.gov.cn)等渠道查询及审查投标人的相关信用记录，并将查询的结果网页截屏与评审资料一并保存。</w:t>
      </w:r>
    </w:p>
    <w:p>
      <w:pPr>
        <w:spacing w:line="360" w:lineRule="auto"/>
        <w:jc w:val="left"/>
        <w:rPr>
          <w:rFonts w:hint="eastAsia" w:hAnsi="宋体"/>
          <w:b/>
          <w:color w:val="auto"/>
          <w:sz w:val="24"/>
          <w:szCs w:val="24"/>
        </w:rPr>
      </w:pPr>
      <w:r>
        <w:rPr>
          <w:rFonts w:hint="eastAsia" w:hAnsi="宋体"/>
          <w:b/>
          <w:color w:val="auto"/>
          <w:sz w:val="24"/>
          <w:szCs w:val="24"/>
        </w:rPr>
        <w:t>（1）如投标人在采购人评审时查询到的信用记录结果中显示被列入失信被执行人、重大税收违法案件当事人名单、政府采购严重违法失信行为记录名单，其投标作无效投标处理。</w:t>
      </w:r>
    </w:p>
    <w:p>
      <w:pPr>
        <w:spacing w:line="360" w:lineRule="auto"/>
        <w:jc w:val="left"/>
        <w:rPr>
          <w:rFonts w:hint="eastAsia"/>
          <w:b/>
          <w:color w:val="auto"/>
          <w:sz w:val="24"/>
          <w:szCs w:val="24"/>
        </w:rPr>
      </w:pPr>
      <w:r>
        <w:rPr>
          <w:rFonts w:hint="eastAsia" w:hAnsi="宋体"/>
          <w:b/>
          <w:color w:val="auto"/>
          <w:sz w:val="24"/>
          <w:szCs w:val="24"/>
        </w:rPr>
        <w:t>（2）如投标人在采购人评审时查询到的信用记录结果中显示其在参加本次政府采购活动前三年内，在经营活动中因违法经营受到刑事处罚或者责令停产停业、吊销许可证或者执照、较大数额罚款等行政处罚的，属于存在重大违法记录，作无效投标处理.</w:t>
      </w:r>
    </w:p>
    <w:p>
      <w:pPr>
        <w:spacing w:line="360" w:lineRule="auto"/>
        <w:jc w:val="left"/>
        <w:rPr>
          <w:rFonts w:hint="eastAsia"/>
          <w:b/>
          <w:color w:val="auto"/>
          <w:sz w:val="24"/>
          <w:szCs w:val="24"/>
        </w:rPr>
      </w:pPr>
    </w:p>
    <w:p>
      <w:pPr>
        <w:spacing w:line="360" w:lineRule="auto"/>
        <w:rPr>
          <w:rFonts w:hint="eastAsia"/>
          <w:b/>
          <w:bCs/>
          <w:color w:val="auto"/>
          <w:sz w:val="24"/>
          <w:szCs w:val="24"/>
        </w:rPr>
      </w:pPr>
      <w:r>
        <w:rPr>
          <w:rFonts w:hint="eastAsia"/>
          <w:b/>
          <w:bCs/>
          <w:color w:val="auto"/>
          <w:sz w:val="24"/>
          <w:szCs w:val="24"/>
        </w:rPr>
        <w:t>1-</w:t>
      </w:r>
      <w:r>
        <w:rPr>
          <w:rFonts w:hint="eastAsia"/>
          <w:b/>
          <w:bCs/>
          <w:color w:val="auto"/>
          <w:sz w:val="24"/>
          <w:szCs w:val="24"/>
          <w:lang w:val="en-US" w:eastAsia="zh-CN"/>
        </w:rPr>
        <w:t>5</w:t>
      </w:r>
      <w:r>
        <w:rPr>
          <w:rFonts w:hint="eastAsia"/>
          <w:b/>
          <w:bCs/>
          <w:color w:val="auto"/>
          <w:sz w:val="24"/>
          <w:szCs w:val="24"/>
        </w:rPr>
        <w:t>投标人认为有必要提供的其他资格证明文件</w:t>
      </w:r>
    </w:p>
    <w:p>
      <w:pPr>
        <w:spacing w:line="360" w:lineRule="auto"/>
        <w:rPr>
          <w:rFonts w:hint="eastAsia"/>
          <w:b/>
          <w:bCs/>
          <w:color w:val="auto"/>
          <w:sz w:val="24"/>
          <w:szCs w:val="24"/>
        </w:rPr>
      </w:pPr>
    </w:p>
    <w:p>
      <w:pPr>
        <w:spacing w:line="360" w:lineRule="auto"/>
        <w:rPr>
          <w:rFonts w:hint="eastAsia" w:ascii="宋体" w:hAnsi="宋体"/>
          <w:b/>
          <w:color w:val="auto"/>
          <w:sz w:val="24"/>
          <w:szCs w:val="24"/>
        </w:rPr>
      </w:pPr>
      <w:r>
        <w:rPr>
          <w:rFonts w:hint="eastAsia" w:hAnsi="宋体"/>
          <w:b/>
          <w:color w:val="auto"/>
          <w:sz w:val="24"/>
          <w:szCs w:val="24"/>
        </w:rPr>
        <w:t xml:space="preserve">附件2 </w:t>
      </w:r>
      <w:r>
        <w:rPr>
          <w:rFonts w:hint="eastAsia" w:ascii="宋体" w:hAnsi="宋体"/>
          <w:b/>
          <w:color w:val="auto"/>
          <w:sz w:val="24"/>
          <w:szCs w:val="24"/>
        </w:rPr>
        <w:t xml:space="preserve"> 投标书</w:t>
      </w:r>
    </w:p>
    <w:p>
      <w:pPr>
        <w:tabs>
          <w:tab w:val="left" w:pos="630"/>
        </w:tabs>
        <w:adjustRightInd w:val="0"/>
        <w:snapToGrid w:val="0"/>
        <w:spacing w:line="360" w:lineRule="auto"/>
        <w:jc w:val="center"/>
        <w:rPr>
          <w:rFonts w:hint="eastAsia" w:ascii="宋体" w:hAnsi="宋体"/>
          <w:color w:val="auto"/>
          <w:sz w:val="24"/>
          <w:szCs w:val="24"/>
        </w:rPr>
      </w:pPr>
      <w:r>
        <w:rPr>
          <w:rFonts w:hint="eastAsia" w:ascii="宋体" w:hAnsi="宋体"/>
          <w:b/>
          <w:color w:val="auto"/>
          <w:sz w:val="24"/>
          <w:szCs w:val="24"/>
        </w:rPr>
        <w:t>投标书</w:t>
      </w:r>
    </w:p>
    <w:p>
      <w:pPr>
        <w:tabs>
          <w:tab w:val="left" w:pos="630"/>
        </w:tabs>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北京市石景山区政府采购中心：</w:t>
      </w:r>
    </w:p>
    <w:p>
      <w:pPr>
        <w:tabs>
          <w:tab w:val="left" w:pos="630"/>
        </w:tabs>
        <w:snapToGrid w:val="0"/>
        <w:spacing w:line="360" w:lineRule="auto"/>
        <w:rPr>
          <w:rFonts w:ascii="宋体" w:hAnsi="宋体"/>
          <w:color w:val="auto"/>
          <w:sz w:val="24"/>
          <w:szCs w:val="24"/>
        </w:rPr>
      </w:pPr>
      <w:r>
        <w:rPr>
          <w:rFonts w:hint="eastAsia" w:ascii="宋体" w:hAnsi="宋体"/>
          <w:color w:val="auto"/>
          <w:sz w:val="24"/>
          <w:szCs w:val="24"/>
        </w:rPr>
        <w:t xml:space="preserve">    我方参加贵方组织的（项目名称：_________________）（</w:t>
      </w:r>
      <w:r>
        <w:rPr>
          <w:rFonts w:hint="eastAsia" w:ascii="宋体" w:hAnsi="宋体"/>
          <w:color w:val="auto"/>
          <w:sz w:val="24"/>
          <w:szCs w:val="24"/>
          <w:lang w:eastAsia="zh-CN"/>
        </w:rPr>
        <w:t>项目</w:t>
      </w:r>
      <w:r>
        <w:rPr>
          <w:rFonts w:hint="eastAsia" w:ascii="宋体" w:hAnsi="宋体"/>
          <w:color w:val="auto"/>
          <w:sz w:val="24"/>
          <w:szCs w:val="24"/>
        </w:rPr>
        <w:t>编号：_________________）的有关采购活动。为此，我方同意和承诺：</w:t>
      </w:r>
    </w:p>
    <w:p>
      <w:pPr>
        <w:numPr>
          <w:ilvl w:val="0"/>
          <w:numId w:val="27"/>
        </w:numPr>
        <w:spacing w:line="360" w:lineRule="auto"/>
        <w:rPr>
          <w:rFonts w:ascii="宋体" w:hAnsi="宋体"/>
          <w:b/>
          <w:color w:val="auto"/>
          <w:sz w:val="24"/>
          <w:szCs w:val="24"/>
        </w:rPr>
      </w:pPr>
      <w:r>
        <w:rPr>
          <w:rFonts w:hint="eastAsia" w:ascii="宋体" w:hAnsi="宋体"/>
          <w:b/>
          <w:color w:val="auto"/>
          <w:sz w:val="24"/>
          <w:szCs w:val="24"/>
        </w:rPr>
        <w:t>我方承诺已详细阅读并理解招标文件及北京市政府采购电子交易平台相关操作手册及视频中关于本项目电子投标各项要求、流程及注意事项，如未按要求操作导致的投标无效，责任由我方承担。</w:t>
      </w:r>
    </w:p>
    <w:p>
      <w:pPr>
        <w:numPr>
          <w:ilvl w:val="0"/>
          <w:numId w:val="27"/>
        </w:numPr>
        <w:spacing w:line="360" w:lineRule="auto"/>
        <w:rPr>
          <w:rFonts w:ascii="宋体" w:hAnsi="宋体"/>
          <w:color w:val="auto"/>
          <w:sz w:val="24"/>
          <w:szCs w:val="24"/>
        </w:rPr>
      </w:pPr>
      <w:r>
        <w:rPr>
          <w:rFonts w:hint="eastAsia" w:ascii="宋体" w:hAnsi="宋体"/>
          <w:color w:val="auto"/>
          <w:sz w:val="24"/>
          <w:szCs w:val="24"/>
        </w:rPr>
        <w:t>我方已详细阅读全部招标文件、包括招标文件的相关更正补充（如有的话）、参考资料及有关附件，保证遵守招标文件的规定。</w:t>
      </w:r>
    </w:p>
    <w:p>
      <w:pPr>
        <w:numPr>
          <w:ilvl w:val="0"/>
          <w:numId w:val="27"/>
        </w:numPr>
        <w:spacing w:line="360" w:lineRule="auto"/>
        <w:rPr>
          <w:rFonts w:ascii="宋体" w:hAnsi="宋体"/>
          <w:color w:val="auto"/>
          <w:sz w:val="24"/>
          <w:szCs w:val="24"/>
        </w:rPr>
      </w:pPr>
      <w:r>
        <w:rPr>
          <w:rFonts w:hint="eastAsia" w:ascii="宋体" w:hAnsi="宋体"/>
          <w:color w:val="auto"/>
          <w:sz w:val="24"/>
          <w:szCs w:val="24"/>
        </w:rPr>
        <w:t>我方已经完全理解了招标文件中的各项内容和投标人的各项权利义务的真实含义，并承诺在发生争议时不会以对招标文件存在误解、不明白的条款为由，对贵中心行使任何法律上的抗辩权。</w:t>
      </w:r>
    </w:p>
    <w:p>
      <w:pPr>
        <w:numPr>
          <w:ilvl w:val="0"/>
          <w:numId w:val="27"/>
        </w:numPr>
        <w:spacing w:line="360" w:lineRule="auto"/>
        <w:rPr>
          <w:rFonts w:ascii="宋体" w:hAnsi="宋体"/>
          <w:color w:val="auto"/>
          <w:sz w:val="24"/>
          <w:szCs w:val="24"/>
        </w:rPr>
      </w:pPr>
      <w:r>
        <w:rPr>
          <w:rFonts w:hint="eastAsia" w:ascii="宋体" w:hAnsi="宋体"/>
          <w:color w:val="auto"/>
          <w:sz w:val="24"/>
          <w:szCs w:val="24"/>
        </w:rPr>
        <w:t>我方同意在本项目招标文件中规定的开标日起</w:t>
      </w:r>
      <w:r>
        <w:rPr>
          <w:rFonts w:hint="eastAsia" w:ascii="宋体" w:hAnsi="宋体"/>
          <w:color w:val="auto"/>
          <w:sz w:val="24"/>
          <w:szCs w:val="24"/>
          <w:lang w:val="en-US" w:eastAsia="zh-CN"/>
        </w:rPr>
        <w:t>9</w:t>
      </w:r>
      <w:r>
        <w:rPr>
          <w:rFonts w:hint="eastAsia" w:ascii="宋体" w:hAnsi="宋体"/>
          <w:color w:val="auto"/>
          <w:sz w:val="24"/>
          <w:szCs w:val="24"/>
        </w:rPr>
        <w:t>0天内遵守本投标文件中的承诺且在此期限期满之前均具有约束力。遵守“投标人须知”中第九条第二款关于延长投标有效期的规定。</w:t>
      </w:r>
    </w:p>
    <w:p>
      <w:pPr>
        <w:numPr>
          <w:ilvl w:val="0"/>
          <w:numId w:val="27"/>
        </w:numPr>
        <w:spacing w:line="360" w:lineRule="auto"/>
        <w:rPr>
          <w:rFonts w:ascii="宋体" w:hAnsi="宋体"/>
          <w:color w:val="auto"/>
          <w:sz w:val="24"/>
          <w:szCs w:val="24"/>
        </w:rPr>
      </w:pPr>
      <w:r>
        <w:rPr>
          <w:rFonts w:hint="eastAsia" w:ascii="宋体" w:hAnsi="宋体"/>
          <w:color w:val="auto"/>
          <w:sz w:val="24"/>
          <w:szCs w:val="24"/>
        </w:rPr>
        <w:t>我方承诺提供投标人须知规定的全部电子投标文件。</w:t>
      </w:r>
    </w:p>
    <w:p>
      <w:pPr>
        <w:numPr>
          <w:ilvl w:val="0"/>
          <w:numId w:val="27"/>
        </w:numPr>
        <w:spacing w:line="360" w:lineRule="auto"/>
        <w:rPr>
          <w:rFonts w:ascii="宋体" w:hAnsi="宋体"/>
          <w:color w:val="auto"/>
          <w:sz w:val="24"/>
          <w:szCs w:val="24"/>
        </w:rPr>
      </w:pPr>
      <w:r>
        <w:rPr>
          <w:rFonts w:hint="eastAsia" w:ascii="宋体" w:hAnsi="宋体"/>
          <w:color w:val="auto"/>
          <w:sz w:val="24"/>
          <w:szCs w:val="24"/>
        </w:rPr>
        <w:t>我方承诺完全满足和响应招标文件中的各项商务和技术要求，愿意如实提供任何与本项投标有关的数据、情况和技术资料。若有偏差，已在投标文件中显著处予以说明。</w:t>
      </w:r>
    </w:p>
    <w:p>
      <w:pPr>
        <w:numPr>
          <w:ilvl w:val="0"/>
          <w:numId w:val="27"/>
        </w:numPr>
        <w:spacing w:line="360" w:lineRule="auto"/>
        <w:rPr>
          <w:rFonts w:ascii="宋体" w:hAnsi="宋体"/>
          <w:color w:val="auto"/>
          <w:sz w:val="24"/>
          <w:szCs w:val="24"/>
        </w:rPr>
      </w:pPr>
      <w:r>
        <w:rPr>
          <w:rFonts w:hint="eastAsia" w:ascii="宋体" w:hAnsi="宋体"/>
          <w:color w:val="auto"/>
          <w:sz w:val="24"/>
          <w:szCs w:val="24"/>
        </w:rPr>
        <w:t>我方按招标文件要求提供和交付的货物及服务的投标报价详见投标文件，知晓最低价不作为中标保证的规定。</w:t>
      </w:r>
    </w:p>
    <w:p>
      <w:pPr>
        <w:numPr>
          <w:ilvl w:val="0"/>
          <w:numId w:val="27"/>
        </w:numPr>
        <w:spacing w:line="360" w:lineRule="auto"/>
        <w:rPr>
          <w:rFonts w:ascii="宋体" w:hAnsi="宋体"/>
          <w:color w:val="auto"/>
          <w:sz w:val="24"/>
          <w:szCs w:val="24"/>
        </w:rPr>
      </w:pPr>
      <w:r>
        <w:rPr>
          <w:rFonts w:hint="eastAsia" w:ascii="宋体" w:hAnsi="宋体"/>
          <w:color w:val="auto"/>
          <w:sz w:val="24"/>
          <w:szCs w:val="24"/>
        </w:rPr>
        <w:t>我方保证忠实地执行与采购人所签订的协议和合同，并承担协议和合同规定的责任和义务。</w:t>
      </w:r>
    </w:p>
    <w:p>
      <w:pPr>
        <w:numPr>
          <w:ilvl w:val="0"/>
          <w:numId w:val="27"/>
        </w:numPr>
        <w:spacing w:line="360" w:lineRule="auto"/>
        <w:rPr>
          <w:rFonts w:ascii="宋体" w:hAnsi="宋体"/>
          <w:color w:val="auto"/>
          <w:sz w:val="24"/>
          <w:szCs w:val="24"/>
        </w:rPr>
      </w:pPr>
      <w:r>
        <w:rPr>
          <w:rFonts w:hint="eastAsia" w:ascii="宋体" w:hAnsi="宋体"/>
          <w:color w:val="auto"/>
          <w:sz w:val="24"/>
          <w:szCs w:val="24"/>
        </w:rPr>
        <w:t>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pPr>
        <w:numPr>
          <w:ilvl w:val="0"/>
          <w:numId w:val="27"/>
        </w:numPr>
        <w:spacing w:line="360" w:lineRule="auto"/>
        <w:rPr>
          <w:rFonts w:ascii="宋体" w:hAnsi="宋体"/>
          <w:color w:val="auto"/>
          <w:sz w:val="24"/>
          <w:szCs w:val="24"/>
        </w:rPr>
      </w:pPr>
      <w:r>
        <w:rPr>
          <w:rFonts w:hint="eastAsia" w:ascii="宋体" w:hAnsi="宋体"/>
          <w:color w:val="auto"/>
          <w:sz w:val="24"/>
          <w:szCs w:val="24"/>
        </w:rPr>
        <w:t>本投标</w:t>
      </w:r>
      <w:r>
        <w:rPr>
          <w:rFonts w:hint="eastAsia" w:ascii="宋体" w:hAnsi="宋体"/>
          <w:color w:val="auto"/>
          <w:sz w:val="24"/>
          <w:szCs w:val="24"/>
          <w:lang w:eastAsia="zh-CN"/>
        </w:rPr>
        <w:t>书</w:t>
      </w:r>
      <w:r>
        <w:rPr>
          <w:rFonts w:hint="eastAsia" w:ascii="宋体" w:hAnsi="宋体"/>
          <w:color w:val="auto"/>
          <w:sz w:val="24"/>
          <w:szCs w:val="24"/>
        </w:rPr>
        <w:t>自本项目投标截止日起生效。</w:t>
      </w:r>
    </w:p>
    <w:p>
      <w:pPr>
        <w:pStyle w:val="13"/>
        <w:tabs>
          <w:tab w:val="left" w:pos="5580"/>
        </w:tabs>
        <w:spacing w:line="360" w:lineRule="auto"/>
        <w:ind w:firstLine="2640" w:firstLineChars="1100"/>
        <w:rPr>
          <w:rFonts w:hAnsi="宋体"/>
          <w:color w:val="auto"/>
          <w:sz w:val="24"/>
          <w:szCs w:val="24"/>
        </w:rPr>
      </w:pPr>
      <w:r>
        <w:rPr>
          <w:rFonts w:hint="eastAsia" w:hAnsi="宋体"/>
          <w:color w:val="auto"/>
          <w:sz w:val="24"/>
          <w:szCs w:val="24"/>
        </w:rPr>
        <w:t>投标人公</w:t>
      </w:r>
      <w:r>
        <w:rPr>
          <w:rFonts w:hAnsi="宋体"/>
          <w:color w:val="auto"/>
          <w:sz w:val="24"/>
          <w:szCs w:val="24"/>
        </w:rPr>
        <w:t>章</w:t>
      </w:r>
      <w:r>
        <w:rPr>
          <w:rFonts w:hint="eastAsia" w:hAnsi="宋体"/>
          <w:color w:val="auto"/>
          <w:sz w:val="24"/>
          <w:szCs w:val="24"/>
        </w:rPr>
        <w:t>（电子签章）：</w:t>
      </w:r>
      <w:r>
        <w:rPr>
          <w:rFonts w:hAnsi="宋体"/>
          <w:color w:val="auto"/>
          <w:sz w:val="24"/>
          <w:szCs w:val="24"/>
        </w:rPr>
        <w:t>__________________</w:t>
      </w:r>
    </w:p>
    <w:p>
      <w:pPr>
        <w:pStyle w:val="49"/>
        <w:numPr>
          <w:ilvl w:val="0"/>
          <w:numId w:val="0"/>
        </w:numPr>
        <w:tabs>
          <w:tab w:val="left" w:pos="660"/>
        </w:tabs>
        <w:snapToGrid w:val="0"/>
        <w:spacing w:before="0" w:line="400" w:lineRule="exact"/>
        <w:rPr>
          <w:color w:val="auto"/>
          <w:sz w:val="24"/>
          <w:szCs w:val="24"/>
        </w:rPr>
      </w:pPr>
    </w:p>
    <w:p>
      <w:pPr>
        <w:pStyle w:val="13"/>
        <w:tabs>
          <w:tab w:val="left" w:pos="5580"/>
        </w:tabs>
        <w:spacing w:line="300" w:lineRule="auto"/>
        <w:rPr>
          <w:rFonts w:hAnsi="宋体"/>
          <w:color w:val="auto"/>
          <w:sz w:val="24"/>
          <w:szCs w:val="24"/>
        </w:rPr>
      </w:pPr>
      <w:r>
        <w:rPr>
          <w:rFonts w:hint="eastAsia" w:hAnsi="宋体"/>
          <w:color w:val="auto"/>
          <w:sz w:val="24"/>
          <w:szCs w:val="24"/>
        </w:rPr>
        <w:t>投标人相关备注信息：</w:t>
      </w:r>
    </w:p>
    <w:tbl>
      <w:tblPr>
        <w:tblStyle w:val="31"/>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6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pStyle w:val="13"/>
              <w:tabs>
                <w:tab w:val="left" w:pos="5580"/>
              </w:tabs>
              <w:spacing w:line="300" w:lineRule="auto"/>
              <w:rPr>
                <w:rFonts w:hAnsi="宋体"/>
                <w:color w:val="auto"/>
                <w:sz w:val="24"/>
                <w:szCs w:val="24"/>
              </w:rPr>
            </w:pPr>
            <w:r>
              <w:rPr>
                <w:rFonts w:hint="eastAsia" w:hAnsi="宋体"/>
                <w:color w:val="auto"/>
                <w:sz w:val="24"/>
                <w:szCs w:val="24"/>
              </w:rPr>
              <w:t>投标人地址</w:t>
            </w:r>
          </w:p>
        </w:tc>
        <w:tc>
          <w:tcPr>
            <w:tcW w:w="6865" w:type="dxa"/>
          </w:tcPr>
          <w:p>
            <w:pPr>
              <w:pStyle w:val="13"/>
              <w:tabs>
                <w:tab w:val="left" w:pos="5580"/>
              </w:tabs>
              <w:spacing w:line="30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pStyle w:val="13"/>
              <w:tabs>
                <w:tab w:val="left" w:pos="5580"/>
              </w:tabs>
              <w:spacing w:line="300" w:lineRule="auto"/>
              <w:rPr>
                <w:rFonts w:hAnsi="宋体"/>
                <w:color w:val="auto"/>
                <w:sz w:val="24"/>
                <w:szCs w:val="24"/>
              </w:rPr>
            </w:pPr>
            <w:r>
              <w:rPr>
                <w:rFonts w:hint="eastAsia" w:hAnsi="宋体"/>
                <w:color w:val="auto"/>
                <w:sz w:val="24"/>
                <w:szCs w:val="24"/>
              </w:rPr>
              <w:t>授权代表姓名</w:t>
            </w:r>
          </w:p>
        </w:tc>
        <w:tc>
          <w:tcPr>
            <w:tcW w:w="6865" w:type="dxa"/>
          </w:tcPr>
          <w:p>
            <w:pPr>
              <w:pStyle w:val="13"/>
              <w:tabs>
                <w:tab w:val="left" w:pos="5580"/>
              </w:tabs>
              <w:spacing w:line="30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pStyle w:val="13"/>
              <w:tabs>
                <w:tab w:val="left" w:pos="5580"/>
              </w:tabs>
              <w:spacing w:line="300" w:lineRule="auto"/>
              <w:rPr>
                <w:rFonts w:hAnsi="宋体"/>
                <w:color w:val="auto"/>
                <w:sz w:val="24"/>
                <w:szCs w:val="24"/>
              </w:rPr>
            </w:pPr>
            <w:r>
              <w:rPr>
                <w:rFonts w:hint="eastAsia" w:hAnsi="宋体"/>
                <w:color w:val="auto"/>
                <w:sz w:val="24"/>
                <w:szCs w:val="24"/>
              </w:rPr>
              <w:t>授权代表手机号</w:t>
            </w:r>
          </w:p>
        </w:tc>
        <w:tc>
          <w:tcPr>
            <w:tcW w:w="6865" w:type="dxa"/>
          </w:tcPr>
          <w:p>
            <w:pPr>
              <w:pStyle w:val="13"/>
              <w:tabs>
                <w:tab w:val="left" w:pos="5580"/>
              </w:tabs>
              <w:spacing w:line="300" w:lineRule="auto"/>
              <w:rPr>
                <w:rFonts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2" w:type="dxa"/>
          </w:tcPr>
          <w:p>
            <w:pPr>
              <w:pStyle w:val="13"/>
              <w:tabs>
                <w:tab w:val="left" w:pos="5580"/>
              </w:tabs>
              <w:spacing w:line="300" w:lineRule="auto"/>
              <w:rPr>
                <w:rFonts w:hAnsi="宋体"/>
                <w:color w:val="auto"/>
                <w:sz w:val="24"/>
                <w:szCs w:val="24"/>
              </w:rPr>
            </w:pPr>
            <w:r>
              <w:rPr>
                <w:rFonts w:hint="eastAsia" w:hAnsi="宋体"/>
                <w:color w:val="auto"/>
                <w:sz w:val="24"/>
                <w:szCs w:val="24"/>
              </w:rPr>
              <w:t>授权代表邮箱</w:t>
            </w:r>
          </w:p>
        </w:tc>
        <w:tc>
          <w:tcPr>
            <w:tcW w:w="6865" w:type="dxa"/>
          </w:tcPr>
          <w:p>
            <w:pPr>
              <w:pStyle w:val="13"/>
              <w:tabs>
                <w:tab w:val="left" w:pos="5580"/>
              </w:tabs>
              <w:spacing w:line="300" w:lineRule="auto"/>
              <w:rPr>
                <w:rFonts w:hAnsi="宋体"/>
                <w:color w:val="auto"/>
                <w:sz w:val="24"/>
                <w:szCs w:val="24"/>
              </w:rPr>
            </w:pPr>
          </w:p>
        </w:tc>
      </w:tr>
    </w:tbl>
    <w:p>
      <w:pPr>
        <w:pStyle w:val="13"/>
        <w:tabs>
          <w:tab w:val="left" w:pos="5580"/>
        </w:tabs>
        <w:spacing w:line="300" w:lineRule="auto"/>
        <w:rPr>
          <w:rFonts w:hAnsi="宋体"/>
          <w:color w:val="auto"/>
          <w:sz w:val="24"/>
          <w:szCs w:val="24"/>
        </w:rPr>
      </w:pPr>
      <w:r>
        <w:rPr>
          <w:rFonts w:hint="eastAsia" w:hAnsi="宋体"/>
          <w:color w:val="auto"/>
          <w:sz w:val="24"/>
          <w:szCs w:val="24"/>
        </w:rPr>
        <w:t>请投标人按要求填写上述备注信息，不作为评审使用。</w:t>
      </w:r>
    </w:p>
    <w:p>
      <w:pPr>
        <w:tabs>
          <w:tab w:val="left" w:pos="630"/>
        </w:tabs>
        <w:adjustRightInd w:val="0"/>
        <w:snapToGrid w:val="0"/>
        <w:spacing w:line="360" w:lineRule="auto"/>
        <w:ind w:left="480" w:hanging="480" w:hangingChars="200"/>
        <w:jc w:val="right"/>
        <w:rPr>
          <w:rFonts w:hint="eastAsia" w:ascii="宋体" w:hAnsi="宋体"/>
          <w:color w:val="auto"/>
          <w:sz w:val="24"/>
          <w:szCs w:val="24"/>
        </w:rPr>
      </w:pPr>
    </w:p>
    <w:p>
      <w:pPr>
        <w:widowControl/>
        <w:spacing w:line="360" w:lineRule="auto"/>
        <w:rPr>
          <w:rFonts w:hint="eastAsia" w:ascii="宋体" w:hAnsi="宋体"/>
          <w:color w:val="auto"/>
          <w:sz w:val="24"/>
          <w:szCs w:val="24"/>
        </w:rPr>
      </w:pPr>
      <w:r>
        <w:rPr>
          <w:rFonts w:hint="eastAsia" w:ascii="宋体" w:hAnsi="宋体"/>
          <w:color w:val="auto"/>
          <w:sz w:val="24"/>
          <w:szCs w:val="24"/>
        </w:rPr>
        <w:t>注：除可填报项目外，对本投标书的任何修改将被视为非实质性响应投标，从而导致该投标被视为无效投标。</w:t>
      </w:r>
    </w:p>
    <w:p>
      <w:pPr>
        <w:spacing w:line="360" w:lineRule="auto"/>
        <w:rPr>
          <w:rFonts w:hint="eastAsia" w:hAnsi="宋体"/>
          <w:b/>
          <w:color w:val="auto"/>
          <w:sz w:val="24"/>
          <w:szCs w:val="24"/>
        </w:rPr>
      </w:pPr>
      <w:r>
        <w:rPr>
          <w:rFonts w:hint="eastAsia" w:hAnsi="宋体"/>
          <w:b/>
          <w:color w:val="auto"/>
          <w:sz w:val="24"/>
          <w:szCs w:val="24"/>
        </w:rPr>
        <w:t>附件3 投标一览表（按招标文件格式要求填写，不得变更）</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投标一览表</w:t>
      </w:r>
    </w:p>
    <w:p>
      <w:pPr>
        <w:spacing w:line="360" w:lineRule="auto"/>
        <w:rPr>
          <w:rFonts w:hint="eastAsia" w:ascii="宋体" w:hAnsi="宋体"/>
          <w:color w:val="auto"/>
          <w:sz w:val="24"/>
          <w:szCs w:val="24"/>
        </w:rPr>
      </w:pPr>
      <w:r>
        <w:rPr>
          <w:rFonts w:hint="eastAsia" w:ascii="宋体" w:hAnsi="宋体"/>
          <w:color w:val="auto"/>
          <w:sz w:val="24"/>
          <w:szCs w:val="24"/>
        </w:rPr>
        <w:t xml:space="preserve">项目名称： </w:t>
      </w:r>
    </w:p>
    <w:p>
      <w:pPr>
        <w:spacing w:line="360" w:lineRule="auto"/>
        <w:rPr>
          <w:rFonts w:hint="eastAsia" w:ascii="宋体" w:hAnsi="宋体"/>
          <w:color w:val="auto"/>
          <w:sz w:val="24"/>
          <w:szCs w:val="24"/>
        </w:rPr>
      </w:pPr>
      <w:r>
        <w:rPr>
          <w:rFonts w:hint="eastAsia" w:ascii="宋体" w:hAnsi="宋体"/>
          <w:color w:val="auto"/>
          <w:sz w:val="24"/>
          <w:szCs w:val="24"/>
        </w:rPr>
        <w:t>项目编号：                          填表日期：</w:t>
      </w:r>
      <w:r>
        <w:rPr>
          <w:rFonts w:hint="eastAsia" w:ascii="宋体" w:hAnsi="宋体"/>
          <w:color w:val="auto"/>
          <w:sz w:val="24"/>
          <w:szCs w:val="24"/>
          <w:lang w:val="en-US" w:eastAsia="zh-CN"/>
        </w:rPr>
        <w:t xml:space="preserve">   </w:t>
      </w:r>
      <w:r>
        <w:rPr>
          <w:rFonts w:hint="eastAsia" w:ascii="宋体" w:hAnsi="宋体"/>
          <w:color w:val="auto"/>
          <w:sz w:val="24"/>
          <w:szCs w:val="24"/>
        </w:rPr>
        <w:t>年   月   日</w:t>
      </w:r>
    </w:p>
    <w:p>
      <w:pPr>
        <w:spacing w:after="312" w:afterLines="100" w:line="360" w:lineRule="auto"/>
        <w:rPr>
          <w:rFonts w:hint="eastAsia" w:ascii="宋体" w:hAnsi="宋体"/>
          <w:color w:val="auto"/>
          <w:sz w:val="24"/>
          <w:szCs w:val="24"/>
        </w:rPr>
      </w:pPr>
      <w:r>
        <w:rPr>
          <w:rFonts w:hint="eastAsia" w:ascii="宋体" w:hAnsi="宋体"/>
          <w:color w:val="auto"/>
          <w:kern w:val="2"/>
          <w:sz w:val="24"/>
          <w:szCs w:val="24"/>
        </w:rPr>
        <w:t>投标人公章（电子签章）：</w:t>
      </w:r>
    </w:p>
    <w:tbl>
      <w:tblPr>
        <w:tblStyle w:val="31"/>
        <w:tblW w:w="8731" w:type="dxa"/>
        <w:jc w:val="center"/>
        <w:tblInd w:w="-952" w:type="dxa"/>
        <w:tblLayout w:type="fixed"/>
        <w:tblCellMar>
          <w:top w:w="0" w:type="dxa"/>
          <w:left w:w="108" w:type="dxa"/>
          <w:bottom w:w="0" w:type="dxa"/>
          <w:right w:w="108" w:type="dxa"/>
        </w:tblCellMar>
      </w:tblPr>
      <w:tblGrid>
        <w:gridCol w:w="971"/>
        <w:gridCol w:w="2821"/>
        <w:gridCol w:w="2253"/>
        <w:gridCol w:w="1346"/>
        <w:gridCol w:w="1340"/>
      </w:tblGrid>
      <w:tr>
        <w:tblPrEx>
          <w:tblLayout w:type="fixed"/>
          <w:tblCellMar>
            <w:top w:w="0" w:type="dxa"/>
            <w:left w:w="108" w:type="dxa"/>
            <w:bottom w:w="0" w:type="dxa"/>
            <w:right w:w="108" w:type="dxa"/>
          </w:tblCellMar>
        </w:tblPrEx>
        <w:trPr>
          <w:trHeight w:val="792" w:hRule="exact"/>
          <w:jc w:val="center"/>
        </w:trPr>
        <w:tc>
          <w:tcPr>
            <w:tcW w:w="97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olor w:val="auto"/>
                <w:sz w:val="24"/>
                <w:szCs w:val="24"/>
                <w:lang w:eastAsia="zh-CN"/>
              </w:rPr>
            </w:pPr>
            <w:r>
              <w:rPr>
                <w:rFonts w:hint="eastAsia" w:ascii="宋体" w:hAnsi="宋体"/>
                <w:color w:val="auto"/>
                <w:sz w:val="24"/>
                <w:szCs w:val="24"/>
                <w:lang w:eastAsia="zh-CN"/>
              </w:rPr>
              <w:t>包号</w:t>
            </w:r>
          </w:p>
        </w:tc>
        <w:tc>
          <w:tcPr>
            <w:tcW w:w="282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auto"/>
                <w:sz w:val="24"/>
                <w:szCs w:val="24"/>
              </w:rPr>
            </w:pPr>
            <w:r>
              <w:rPr>
                <w:rFonts w:hint="eastAsia" w:ascii="宋体" w:hAnsi="宋体"/>
                <w:color w:val="auto"/>
                <w:sz w:val="24"/>
                <w:szCs w:val="24"/>
              </w:rPr>
              <w:t>投标人名称</w:t>
            </w:r>
          </w:p>
        </w:tc>
        <w:tc>
          <w:tcPr>
            <w:tcW w:w="225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olor w:val="auto"/>
                <w:sz w:val="24"/>
                <w:szCs w:val="24"/>
              </w:rPr>
            </w:pPr>
            <w:r>
              <w:rPr>
                <w:rFonts w:hint="eastAsia" w:ascii="宋体" w:hAnsi="宋体"/>
                <w:color w:val="auto"/>
                <w:sz w:val="24"/>
                <w:szCs w:val="24"/>
              </w:rPr>
              <w:t>投标报价（人民币）</w:t>
            </w:r>
          </w:p>
        </w:tc>
        <w:tc>
          <w:tcPr>
            <w:tcW w:w="134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auto"/>
                <w:sz w:val="24"/>
                <w:szCs w:val="24"/>
              </w:rPr>
            </w:pPr>
            <w:r>
              <w:rPr>
                <w:rFonts w:hint="eastAsia" w:ascii="宋体" w:hAnsi="宋体"/>
                <w:color w:val="auto"/>
                <w:sz w:val="24"/>
                <w:szCs w:val="24"/>
                <w:lang w:eastAsia="zh-CN"/>
              </w:rPr>
              <w:t>供货</w:t>
            </w:r>
            <w:r>
              <w:rPr>
                <w:rFonts w:hint="eastAsia" w:ascii="宋体" w:hAnsi="宋体"/>
                <w:color w:val="auto"/>
                <w:sz w:val="24"/>
                <w:szCs w:val="24"/>
              </w:rPr>
              <w:t>期限</w:t>
            </w:r>
          </w:p>
        </w:tc>
        <w:tc>
          <w:tcPr>
            <w:tcW w:w="13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auto"/>
                <w:sz w:val="24"/>
                <w:szCs w:val="24"/>
              </w:rPr>
            </w:pPr>
            <w:r>
              <w:rPr>
                <w:rFonts w:hint="eastAsia" w:ascii="宋体" w:hAnsi="宋体"/>
                <w:color w:val="auto"/>
                <w:sz w:val="24"/>
                <w:szCs w:val="24"/>
              </w:rPr>
              <w:t>备注</w:t>
            </w:r>
          </w:p>
        </w:tc>
      </w:tr>
      <w:tr>
        <w:tblPrEx>
          <w:tblLayout w:type="fixed"/>
          <w:tblCellMar>
            <w:top w:w="0" w:type="dxa"/>
            <w:left w:w="108" w:type="dxa"/>
            <w:bottom w:w="0" w:type="dxa"/>
            <w:right w:w="108" w:type="dxa"/>
          </w:tblCellMar>
        </w:tblPrEx>
        <w:trPr>
          <w:trHeight w:val="894" w:hRule="exact"/>
          <w:jc w:val="center"/>
        </w:trPr>
        <w:tc>
          <w:tcPr>
            <w:tcW w:w="971" w:type="dxa"/>
            <w:tcBorders>
              <w:top w:val="single" w:color="auto" w:sz="4" w:space="0"/>
              <w:left w:val="single" w:color="auto" w:sz="4" w:space="0"/>
              <w:bottom w:val="single" w:color="auto" w:sz="6" w:space="0"/>
              <w:right w:val="single" w:color="auto" w:sz="4" w:space="0"/>
            </w:tcBorders>
            <w:vAlign w:val="center"/>
          </w:tcPr>
          <w:p>
            <w:pPr>
              <w:widowControl/>
              <w:jc w:val="center"/>
              <w:rPr>
                <w:rFonts w:hint="eastAsia" w:ascii="宋体" w:hAnsi="宋体"/>
                <w:color w:val="auto"/>
                <w:sz w:val="24"/>
                <w:szCs w:val="24"/>
              </w:rPr>
            </w:pPr>
          </w:p>
        </w:tc>
        <w:tc>
          <w:tcPr>
            <w:tcW w:w="2821" w:type="dxa"/>
            <w:tcBorders>
              <w:top w:val="single" w:color="auto" w:sz="4" w:space="0"/>
              <w:left w:val="single" w:color="auto" w:sz="4" w:space="0"/>
              <w:bottom w:val="single" w:color="auto" w:sz="6" w:space="0"/>
              <w:right w:val="single" w:color="auto" w:sz="6" w:space="0"/>
            </w:tcBorders>
            <w:vAlign w:val="center"/>
          </w:tcPr>
          <w:p>
            <w:pPr>
              <w:widowControl/>
              <w:jc w:val="center"/>
              <w:rPr>
                <w:rFonts w:hint="eastAsia" w:ascii="宋体" w:hAnsi="宋体"/>
                <w:color w:val="auto"/>
                <w:sz w:val="24"/>
                <w:szCs w:val="24"/>
              </w:rPr>
            </w:pPr>
          </w:p>
        </w:tc>
        <w:tc>
          <w:tcPr>
            <w:tcW w:w="2253" w:type="dxa"/>
            <w:tcBorders>
              <w:top w:val="single" w:color="auto" w:sz="4" w:space="0"/>
              <w:left w:val="single" w:color="auto" w:sz="6" w:space="0"/>
              <w:bottom w:val="single" w:color="auto" w:sz="6" w:space="0"/>
              <w:right w:val="single" w:color="auto" w:sz="6" w:space="0"/>
            </w:tcBorders>
            <w:vAlign w:val="center"/>
          </w:tcPr>
          <w:p>
            <w:pPr>
              <w:widowControl/>
              <w:rPr>
                <w:rFonts w:hint="eastAsia"/>
                <w:color w:val="auto"/>
              </w:rPr>
            </w:pPr>
            <w:r>
              <w:rPr>
                <w:rFonts w:hint="eastAsia"/>
                <w:color w:val="auto"/>
              </w:rPr>
              <w:t>小写：</w:t>
            </w:r>
          </w:p>
          <w:p>
            <w:pPr>
              <w:widowControl/>
              <w:rPr>
                <w:rFonts w:hint="eastAsia"/>
                <w:color w:val="auto"/>
              </w:rPr>
            </w:pPr>
            <w:r>
              <w:rPr>
                <w:rFonts w:hint="eastAsia"/>
                <w:color w:val="auto"/>
              </w:rPr>
              <w:t>大写：</w:t>
            </w:r>
          </w:p>
          <w:p>
            <w:pPr>
              <w:pStyle w:val="16"/>
              <w:rPr>
                <w:rFonts w:hint="eastAsia"/>
                <w:color w:val="auto"/>
              </w:rPr>
            </w:pPr>
          </w:p>
          <w:p>
            <w:pPr>
              <w:pStyle w:val="16"/>
              <w:rPr>
                <w:rFonts w:hint="eastAsia"/>
                <w:color w:val="auto"/>
              </w:rPr>
            </w:pPr>
          </w:p>
          <w:p>
            <w:pPr>
              <w:pStyle w:val="16"/>
              <w:rPr>
                <w:rFonts w:hint="eastAsia"/>
                <w:color w:val="auto"/>
              </w:rPr>
            </w:pPr>
          </w:p>
        </w:tc>
        <w:tc>
          <w:tcPr>
            <w:tcW w:w="1346" w:type="dxa"/>
            <w:tcBorders>
              <w:top w:val="single" w:color="auto" w:sz="4" w:space="0"/>
              <w:left w:val="single" w:color="auto" w:sz="6" w:space="0"/>
              <w:bottom w:val="single" w:color="auto" w:sz="6" w:space="0"/>
              <w:right w:val="single" w:color="auto" w:sz="6" w:space="0"/>
            </w:tcBorders>
            <w:vAlign w:val="center"/>
          </w:tcPr>
          <w:p>
            <w:pPr>
              <w:widowControl/>
              <w:jc w:val="center"/>
              <w:rPr>
                <w:rFonts w:hint="eastAsia" w:ascii="宋体" w:hAnsi="宋体"/>
                <w:color w:val="auto"/>
                <w:sz w:val="24"/>
                <w:szCs w:val="24"/>
              </w:rPr>
            </w:pPr>
          </w:p>
        </w:tc>
        <w:tc>
          <w:tcPr>
            <w:tcW w:w="1340" w:type="dxa"/>
            <w:tcBorders>
              <w:top w:val="single" w:color="auto" w:sz="4" w:space="0"/>
              <w:left w:val="single" w:color="auto" w:sz="6" w:space="0"/>
              <w:bottom w:val="single" w:color="auto" w:sz="6" w:space="0"/>
              <w:right w:val="single" w:color="auto" w:sz="6" w:space="0"/>
            </w:tcBorders>
            <w:vAlign w:val="center"/>
          </w:tcPr>
          <w:p>
            <w:pPr>
              <w:widowControl/>
              <w:jc w:val="center"/>
              <w:rPr>
                <w:rFonts w:hint="eastAsia" w:ascii="宋体" w:hAnsi="宋体"/>
                <w:color w:val="auto"/>
                <w:sz w:val="24"/>
                <w:szCs w:val="24"/>
              </w:rPr>
            </w:pPr>
          </w:p>
        </w:tc>
      </w:tr>
    </w:tbl>
    <w:p>
      <w:pPr>
        <w:spacing w:line="360" w:lineRule="auto"/>
        <w:ind w:left="478" w:hanging="477" w:hangingChars="199"/>
        <w:rPr>
          <w:rFonts w:hint="eastAsia" w:ascii="宋体" w:hAnsi="宋体"/>
          <w:color w:val="auto"/>
          <w:sz w:val="24"/>
          <w:szCs w:val="24"/>
        </w:rPr>
      </w:pPr>
      <w:r>
        <w:rPr>
          <w:rFonts w:hint="eastAsia" w:ascii="宋体" w:hAnsi="宋体"/>
          <w:color w:val="auto"/>
          <w:sz w:val="24"/>
          <w:szCs w:val="24"/>
        </w:rPr>
        <w:t>注：此表必须按格式统一进行填写</w:t>
      </w:r>
      <w:r>
        <w:rPr>
          <w:rFonts w:hint="eastAsia" w:ascii="宋体" w:hAnsi="宋体"/>
          <w:color w:val="auto"/>
          <w:sz w:val="24"/>
          <w:szCs w:val="24"/>
          <w:lang w:eastAsia="zh-CN"/>
        </w:rPr>
        <w:t>。</w:t>
      </w:r>
    </w:p>
    <w:p>
      <w:pPr>
        <w:pStyle w:val="13"/>
        <w:tabs>
          <w:tab w:val="left" w:pos="5580"/>
        </w:tabs>
        <w:spacing w:line="22" w:lineRule="atLeast"/>
        <w:ind w:left="720" w:leftChars="200" w:right="-480" w:rightChars="-200" w:hanging="240" w:hangingChars="100"/>
        <w:rPr>
          <w:rFonts w:hint="eastAsia" w:hAnsi="宋体"/>
          <w:color w:val="auto"/>
          <w:sz w:val="24"/>
        </w:rPr>
      </w:pPr>
    </w:p>
    <w:p>
      <w:pPr>
        <w:spacing w:line="360" w:lineRule="auto"/>
        <w:rPr>
          <w:rFonts w:hint="eastAsia" w:ascii="宋体" w:hAnsi="宋体" w:cs="Courier New"/>
          <w:color w:val="auto"/>
          <w:sz w:val="24"/>
          <w:szCs w:val="21"/>
        </w:rPr>
      </w:pPr>
    </w:p>
    <w:p>
      <w:pPr>
        <w:spacing w:line="360" w:lineRule="auto"/>
        <w:rPr>
          <w:rFonts w:ascii="宋体" w:hAnsi="宋体"/>
          <w:b/>
          <w:color w:val="auto"/>
          <w:sz w:val="24"/>
          <w:szCs w:val="24"/>
        </w:rPr>
      </w:pPr>
      <w:r>
        <w:rPr>
          <w:rFonts w:hint="eastAsia" w:hAnsi="宋体"/>
          <w:b/>
          <w:color w:val="auto"/>
          <w:sz w:val="24"/>
          <w:szCs w:val="24"/>
        </w:rPr>
        <w:t>附件4</w:t>
      </w:r>
      <w:r>
        <w:rPr>
          <w:rFonts w:hint="eastAsia" w:ascii="宋体" w:hAnsi="宋体"/>
          <w:b/>
          <w:color w:val="auto"/>
          <w:sz w:val="24"/>
          <w:szCs w:val="24"/>
        </w:rPr>
        <w:t xml:space="preserve"> </w:t>
      </w:r>
      <w:r>
        <w:rPr>
          <w:rFonts w:hint="eastAsia"/>
          <w:b/>
          <w:bCs/>
          <w:color w:val="auto"/>
          <w:sz w:val="24"/>
          <w:szCs w:val="24"/>
        </w:rPr>
        <w:t>投标</w:t>
      </w:r>
      <w:r>
        <w:rPr>
          <w:rFonts w:hint="eastAsia"/>
          <w:b/>
          <w:bCs/>
          <w:color w:val="auto"/>
          <w:sz w:val="24"/>
          <w:szCs w:val="24"/>
          <w:lang w:eastAsia="zh-CN"/>
        </w:rPr>
        <w:t>分项</w:t>
      </w:r>
      <w:r>
        <w:rPr>
          <w:b/>
          <w:bCs/>
          <w:color w:val="auto"/>
          <w:sz w:val="24"/>
          <w:szCs w:val="24"/>
        </w:rPr>
        <w:t>报价</w:t>
      </w:r>
      <w:r>
        <w:rPr>
          <w:rFonts w:hint="eastAsia"/>
          <w:b/>
          <w:bCs/>
          <w:color w:val="auto"/>
          <w:sz w:val="24"/>
          <w:szCs w:val="24"/>
        </w:rPr>
        <w:t>表</w:t>
      </w:r>
      <w:r>
        <w:rPr>
          <w:rFonts w:hint="eastAsia" w:hAnsi="宋体"/>
          <w:b/>
          <w:color w:val="auto"/>
          <w:sz w:val="24"/>
          <w:szCs w:val="24"/>
        </w:rPr>
        <w:t>（按招标文件格式要求填写，不得变更）</w:t>
      </w:r>
    </w:p>
    <w:p>
      <w:pPr>
        <w:pStyle w:val="5"/>
        <w:tabs>
          <w:tab w:val="left" w:pos="448"/>
          <w:tab w:val="clear" w:pos="1260"/>
        </w:tabs>
        <w:spacing w:before="120"/>
        <w:ind w:firstLine="482"/>
        <w:jc w:val="center"/>
        <w:rPr>
          <w:rFonts w:hint="eastAsia"/>
          <w:bCs w:val="0"/>
          <w:color w:val="auto"/>
          <w:sz w:val="24"/>
          <w:szCs w:val="24"/>
        </w:rPr>
      </w:pPr>
      <w:r>
        <w:rPr>
          <w:rFonts w:hint="eastAsia"/>
          <w:bCs w:val="0"/>
          <w:color w:val="auto"/>
          <w:sz w:val="24"/>
          <w:szCs w:val="24"/>
        </w:rPr>
        <w:t>投标</w:t>
      </w:r>
      <w:r>
        <w:rPr>
          <w:rFonts w:hint="eastAsia"/>
          <w:bCs w:val="0"/>
          <w:color w:val="auto"/>
          <w:sz w:val="24"/>
          <w:szCs w:val="24"/>
          <w:lang w:eastAsia="zh-CN"/>
        </w:rPr>
        <w:t>分项</w:t>
      </w:r>
      <w:r>
        <w:rPr>
          <w:bCs w:val="0"/>
          <w:color w:val="auto"/>
          <w:sz w:val="24"/>
          <w:szCs w:val="24"/>
        </w:rPr>
        <w:t>报价</w:t>
      </w:r>
      <w:r>
        <w:rPr>
          <w:rFonts w:hint="eastAsia"/>
          <w:bCs w:val="0"/>
          <w:color w:val="auto"/>
          <w:sz w:val="24"/>
          <w:szCs w:val="24"/>
        </w:rPr>
        <w:t>表</w:t>
      </w:r>
    </w:p>
    <w:p>
      <w:pPr>
        <w:spacing w:line="300" w:lineRule="auto"/>
        <w:jc w:val="left"/>
        <w:rPr>
          <w:rFonts w:hint="eastAsia" w:ascii="宋体" w:hAnsi="宋体"/>
          <w:color w:val="auto"/>
          <w:sz w:val="24"/>
          <w:szCs w:val="24"/>
        </w:rPr>
      </w:pPr>
      <w:r>
        <w:rPr>
          <w:rFonts w:hint="eastAsia" w:ascii="宋体" w:hAnsi="宋体"/>
          <w:color w:val="auto"/>
          <w:sz w:val="24"/>
          <w:szCs w:val="24"/>
        </w:rPr>
        <w:t>项目编号：</w:t>
      </w:r>
    </w:p>
    <w:p>
      <w:pPr>
        <w:rPr>
          <w:rFonts w:hint="eastAsia"/>
          <w:color w:val="auto"/>
        </w:rPr>
      </w:pPr>
      <w:r>
        <w:rPr>
          <w:rFonts w:hint="eastAsia" w:ascii="宋体" w:hAnsi="宋体"/>
          <w:color w:val="auto"/>
          <w:sz w:val="24"/>
          <w:szCs w:val="24"/>
        </w:rPr>
        <w:t>项目名称：</w:t>
      </w:r>
    </w:p>
    <w:tbl>
      <w:tblPr>
        <w:tblStyle w:val="31"/>
        <w:tblW w:w="9391"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50"/>
        <w:gridCol w:w="2564"/>
        <w:gridCol w:w="1091"/>
        <w:gridCol w:w="818"/>
        <w:gridCol w:w="1153"/>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845" w:type="dxa"/>
            <w:vAlign w:val="center"/>
          </w:tcPr>
          <w:p>
            <w:pPr>
              <w:tabs>
                <w:tab w:val="left" w:pos="970"/>
              </w:tabs>
              <w:spacing w:after="84"/>
              <w:ind w:firstLine="118" w:firstLineChars="49"/>
              <w:jc w:val="center"/>
              <w:rPr>
                <w:b/>
                <w:color w:val="auto"/>
                <w:sz w:val="24"/>
                <w:szCs w:val="24"/>
              </w:rPr>
            </w:pPr>
            <w:r>
              <w:rPr>
                <w:rFonts w:hAnsi="宋体"/>
                <w:b/>
                <w:color w:val="auto"/>
                <w:sz w:val="24"/>
                <w:szCs w:val="24"/>
              </w:rPr>
              <w:t>序号</w:t>
            </w:r>
          </w:p>
        </w:tc>
        <w:tc>
          <w:tcPr>
            <w:tcW w:w="1350" w:type="dxa"/>
            <w:vAlign w:val="center"/>
          </w:tcPr>
          <w:p>
            <w:pPr>
              <w:tabs>
                <w:tab w:val="left" w:pos="970"/>
              </w:tabs>
              <w:spacing w:after="84"/>
              <w:jc w:val="center"/>
              <w:rPr>
                <w:rFonts w:hint="eastAsia"/>
                <w:b/>
                <w:color w:val="auto"/>
                <w:sz w:val="24"/>
                <w:szCs w:val="24"/>
              </w:rPr>
            </w:pPr>
            <w:r>
              <w:rPr>
                <w:rFonts w:hint="eastAsia" w:hAnsi="宋体"/>
                <w:b/>
                <w:color w:val="auto"/>
                <w:sz w:val="24"/>
                <w:szCs w:val="24"/>
              </w:rPr>
              <w:t>货物</w:t>
            </w:r>
            <w:r>
              <w:rPr>
                <w:rFonts w:hint="eastAsia" w:hAnsi="宋体"/>
                <w:b/>
                <w:color w:val="auto"/>
                <w:sz w:val="24"/>
                <w:szCs w:val="24"/>
                <w:lang w:eastAsia="zh-CN"/>
              </w:rPr>
              <w:t>或服务</w:t>
            </w:r>
            <w:r>
              <w:rPr>
                <w:rFonts w:hint="eastAsia" w:hAnsi="宋体"/>
                <w:b/>
                <w:color w:val="auto"/>
                <w:sz w:val="24"/>
                <w:szCs w:val="24"/>
              </w:rPr>
              <w:t>名称</w:t>
            </w:r>
          </w:p>
        </w:tc>
        <w:tc>
          <w:tcPr>
            <w:tcW w:w="2564" w:type="dxa"/>
            <w:vAlign w:val="center"/>
          </w:tcPr>
          <w:p>
            <w:pPr>
              <w:tabs>
                <w:tab w:val="left" w:pos="970"/>
              </w:tabs>
              <w:spacing w:after="84"/>
              <w:jc w:val="center"/>
              <w:rPr>
                <w:rFonts w:hint="eastAsia" w:hAnsi="宋体"/>
                <w:b/>
                <w:color w:val="auto"/>
                <w:sz w:val="24"/>
                <w:szCs w:val="24"/>
              </w:rPr>
            </w:pPr>
            <w:r>
              <w:rPr>
                <w:rFonts w:hint="eastAsia" w:hAnsi="宋体"/>
                <w:b/>
                <w:color w:val="auto"/>
                <w:sz w:val="24"/>
                <w:szCs w:val="24"/>
                <w:lang w:eastAsia="zh-CN"/>
              </w:rPr>
              <w:t>品牌</w:t>
            </w:r>
            <w:r>
              <w:rPr>
                <w:rFonts w:hint="eastAsia" w:hAnsi="宋体"/>
                <w:b/>
                <w:color w:val="auto"/>
                <w:sz w:val="24"/>
                <w:szCs w:val="24"/>
              </w:rPr>
              <w:t>规格型号</w:t>
            </w:r>
          </w:p>
        </w:tc>
        <w:tc>
          <w:tcPr>
            <w:tcW w:w="1091" w:type="dxa"/>
            <w:vAlign w:val="center"/>
          </w:tcPr>
          <w:p>
            <w:pPr>
              <w:tabs>
                <w:tab w:val="left" w:pos="970"/>
              </w:tabs>
              <w:spacing w:after="84"/>
              <w:jc w:val="center"/>
              <w:rPr>
                <w:rFonts w:hint="eastAsia" w:hAnsi="宋体"/>
                <w:b/>
                <w:color w:val="auto"/>
                <w:sz w:val="24"/>
                <w:szCs w:val="24"/>
              </w:rPr>
            </w:pPr>
            <w:r>
              <w:rPr>
                <w:rFonts w:hint="eastAsia" w:hAnsi="宋体"/>
                <w:b/>
                <w:color w:val="auto"/>
                <w:sz w:val="24"/>
                <w:szCs w:val="24"/>
                <w:lang w:eastAsia="zh-CN"/>
              </w:rPr>
              <w:t>制造商名称及</w:t>
            </w:r>
            <w:r>
              <w:rPr>
                <w:rFonts w:hint="eastAsia" w:hAnsi="宋体"/>
                <w:b/>
                <w:color w:val="auto"/>
                <w:sz w:val="24"/>
                <w:szCs w:val="24"/>
              </w:rPr>
              <w:t>产地</w:t>
            </w:r>
          </w:p>
        </w:tc>
        <w:tc>
          <w:tcPr>
            <w:tcW w:w="818" w:type="dxa"/>
            <w:vAlign w:val="center"/>
          </w:tcPr>
          <w:p>
            <w:pPr>
              <w:tabs>
                <w:tab w:val="left" w:pos="970"/>
              </w:tabs>
              <w:spacing w:after="84"/>
              <w:jc w:val="center"/>
              <w:rPr>
                <w:rFonts w:hint="eastAsia"/>
                <w:b/>
                <w:color w:val="auto"/>
                <w:sz w:val="24"/>
                <w:szCs w:val="24"/>
              </w:rPr>
            </w:pPr>
            <w:r>
              <w:rPr>
                <w:rFonts w:hint="eastAsia"/>
                <w:b/>
                <w:color w:val="auto"/>
                <w:sz w:val="24"/>
                <w:szCs w:val="24"/>
              </w:rPr>
              <w:t>数量</w:t>
            </w:r>
            <w:r>
              <w:rPr>
                <w:rFonts w:hint="eastAsia"/>
                <w:b/>
                <w:color w:val="auto"/>
                <w:sz w:val="24"/>
                <w:szCs w:val="24"/>
                <w:lang w:eastAsia="zh-CN"/>
              </w:rPr>
              <w:t>及单位</w:t>
            </w:r>
          </w:p>
        </w:tc>
        <w:tc>
          <w:tcPr>
            <w:tcW w:w="1153" w:type="dxa"/>
            <w:vAlign w:val="center"/>
          </w:tcPr>
          <w:p>
            <w:pPr>
              <w:tabs>
                <w:tab w:val="left" w:pos="970"/>
              </w:tabs>
              <w:spacing w:after="84"/>
              <w:jc w:val="center"/>
              <w:rPr>
                <w:b/>
                <w:color w:val="auto"/>
                <w:sz w:val="24"/>
                <w:szCs w:val="24"/>
              </w:rPr>
            </w:pPr>
            <w:r>
              <w:rPr>
                <w:rFonts w:hint="eastAsia" w:hAnsi="宋体"/>
                <w:b/>
                <w:color w:val="auto"/>
                <w:sz w:val="24"/>
                <w:szCs w:val="24"/>
              </w:rPr>
              <w:t>单价</w:t>
            </w:r>
          </w:p>
        </w:tc>
        <w:tc>
          <w:tcPr>
            <w:tcW w:w="1570" w:type="dxa"/>
            <w:vAlign w:val="center"/>
          </w:tcPr>
          <w:p>
            <w:pPr>
              <w:tabs>
                <w:tab w:val="left" w:pos="970"/>
              </w:tabs>
              <w:spacing w:after="84"/>
              <w:jc w:val="center"/>
              <w:rPr>
                <w:rFonts w:hint="eastAsia" w:hAnsi="宋体"/>
                <w:b/>
                <w:bCs/>
                <w:color w:val="auto"/>
                <w:kern w:val="0"/>
                <w:sz w:val="24"/>
                <w:szCs w:val="24"/>
              </w:rPr>
            </w:pPr>
            <w:r>
              <w:rPr>
                <w:rFonts w:hint="eastAsia" w:hAnsi="宋体"/>
                <w:b/>
                <w:bCs/>
                <w:color w:val="auto"/>
                <w:kern w:val="0"/>
                <w:sz w:val="24"/>
                <w:szCs w:val="24"/>
              </w:rPr>
              <w:t>总价</w:t>
            </w:r>
          </w:p>
          <w:p>
            <w:pPr>
              <w:tabs>
                <w:tab w:val="left" w:pos="970"/>
              </w:tabs>
              <w:spacing w:after="84"/>
              <w:rPr>
                <w:b/>
                <w:color w:val="auto"/>
                <w:sz w:val="24"/>
                <w:szCs w:val="24"/>
              </w:rPr>
            </w:pPr>
            <w:r>
              <w:rPr>
                <w:rFonts w:hAnsi="宋体"/>
                <w:b/>
                <w:bCs/>
                <w:color w:val="auto"/>
                <w:kern w:val="0"/>
                <w:sz w:val="24"/>
                <w:szCs w:val="24"/>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45" w:type="dxa"/>
            <w:vAlign w:val="center"/>
          </w:tcPr>
          <w:p>
            <w:pPr>
              <w:tabs>
                <w:tab w:val="left" w:pos="970"/>
              </w:tabs>
              <w:spacing w:before="156" w:beforeLines="50" w:after="156" w:afterLines="50"/>
              <w:ind w:firstLine="480"/>
              <w:rPr>
                <w:color w:val="auto"/>
                <w:sz w:val="24"/>
                <w:szCs w:val="24"/>
              </w:rPr>
            </w:pPr>
          </w:p>
        </w:tc>
        <w:tc>
          <w:tcPr>
            <w:tcW w:w="1350" w:type="dxa"/>
            <w:vAlign w:val="center"/>
          </w:tcPr>
          <w:p>
            <w:pPr>
              <w:tabs>
                <w:tab w:val="left" w:pos="970"/>
              </w:tabs>
              <w:ind w:firstLine="480"/>
              <w:rPr>
                <w:color w:val="auto"/>
                <w:sz w:val="24"/>
                <w:szCs w:val="24"/>
              </w:rPr>
            </w:pPr>
          </w:p>
        </w:tc>
        <w:tc>
          <w:tcPr>
            <w:tcW w:w="2564" w:type="dxa"/>
            <w:vAlign w:val="center"/>
          </w:tcPr>
          <w:p>
            <w:pPr>
              <w:tabs>
                <w:tab w:val="left" w:pos="970"/>
              </w:tabs>
              <w:ind w:firstLine="480"/>
              <w:rPr>
                <w:color w:val="auto"/>
                <w:sz w:val="24"/>
                <w:szCs w:val="24"/>
              </w:rPr>
            </w:pPr>
          </w:p>
        </w:tc>
        <w:tc>
          <w:tcPr>
            <w:tcW w:w="1091" w:type="dxa"/>
            <w:vAlign w:val="center"/>
          </w:tcPr>
          <w:p>
            <w:pPr>
              <w:tabs>
                <w:tab w:val="left" w:pos="970"/>
              </w:tabs>
              <w:ind w:firstLine="480"/>
              <w:rPr>
                <w:color w:val="auto"/>
                <w:sz w:val="24"/>
                <w:szCs w:val="24"/>
              </w:rPr>
            </w:pPr>
          </w:p>
        </w:tc>
        <w:tc>
          <w:tcPr>
            <w:tcW w:w="818" w:type="dxa"/>
            <w:vAlign w:val="center"/>
          </w:tcPr>
          <w:p>
            <w:pPr>
              <w:tabs>
                <w:tab w:val="left" w:pos="970"/>
              </w:tabs>
              <w:ind w:firstLine="482"/>
              <w:rPr>
                <w:b/>
                <w:color w:val="auto"/>
                <w:sz w:val="24"/>
                <w:szCs w:val="24"/>
              </w:rPr>
            </w:pPr>
          </w:p>
        </w:tc>
        <w:tc>
          <w:tcPr>
            <w:tcW w:w="1153" w:type="dxa"/>
            <w:vAlign w:val="center"/>
          </w:tcPr>
          <w:p>
            <w:pPr>
              <w:tabs>
                <w:tab w:val="left" w:pos="970"/>
              </w:tabs>
              <w:ind w:firstLine="482"/>
              <w:rPr>
                <w:b/>
                <w:color w:val="auto"/>
                <w:sz w:val="24"/>
                <w:szCs w:val="24"/>
              </w:rPr>
            </w:pPr>
          </w:p>
        </w:tc>
        <w:tc>
          <w:tcPr>
            <w:tcW w:w="1570" w:type="dxa"/>
            <w:vAlign w:val="center"/>
          </w:tcPr>
          <w:p>
            <w:pPr>
              <w:tabs>
                <w:tab w:val="left" w:pos="970"/>
              </w:tabs>
              <w:ind w:firstLine="482"/>
              <w:rPr>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45" w:type="dxa"/>
            <w:vAlign w:val="center"/>
          </w:tcPr>
          <w:p>
            <w:pPr>
              <w:tabs>
                <w:tab w:val="left" w:pos="970"/>
              </w:tabs>
              <w:spacing w:before="156" w:beforeLines="50" w:after="156" w:afterLines="50"/>
              <w:ind w:firstLine="480"/>
              <w:rPr>
                <w:color w:val="auto"/>
                <w:sz w:val="24"/>
                <w:szCs w:val="24"/>
              </w:rPr>
            </w:pPr>
          </w:p>
        </w:tc>
        <w:tc>
          <w:tcPr>
            <w:tcW w:w="1350" w:type="dxa"/>
            <w:vAlign w:val="center"/>
          </w:tcPr>
          <w:p>
            <w:pPr>
              <w:tabs>
                <w:tab w:val="left" w:pos="970"/>
              </w:tabs>
              <w:ind w:firstLine="480"/>
              <w:rPr>
                <w:color w:val="auto"/>
                <w:sz w:val="24"/>
                <w:szCs w:val="24"/>
              </w:rPr>
            </w:pPr>
          </w:p>
        </w:tc>
        <w:tc>
          <w:tcPr>
            <w:tcW w:w="2564" w:type="dxa"/>
            <w:vAlign w:val="center"/>
          </w:tcPr>
          <w:p>
            <w:pPr>
              <w:tabs>
                <w:tab w:val="left" w:pos="970"/>
              </w:tabs>
              <w:ind w:firstLine="480"/>
              <w:rPr>
                <w:color w:val="auto"/>
                <w:sz w:val="24"/>
                <w:szCs w:val="24"/>
              </w:rPr>
            </w:pPr>
          </w:p>
        </w:tc>
        <w:tc>
          <w:tcPr>
            <w:tcW w:w="1091" w:type="dxa"/>
            <w:vAlign w:val="center"/>
          </w:tcPr>
          <w:p>
            <w:pPr>
              <w:tabs>
                <w:tab w:val="left" w:pos="970"/>
              </w:tabs>
              <w:ind w:firstLine="480"/>
              <w:rPr>
                <w:color w:val="auto"/>
                <w:sz w:val="24"/>
                <w:szCs w:val="24"/>
              </w:rPr>
            </w:pPr>
          </w:p>
        </w:tc>
        <w:tc>
          <w:tcPr>
            <w:tcW w:w="818" w:type="dxa"/>
            <w:vAlign w:val="center"/>
          </w:tcPr>
          <w:p>
            <w:pPr>
              <w:tabs>
                <w:tab w:val="left" w:pos="970"/>
              </w:tabs>
              <w:ind w:firstLine="482"/>
              <w:rPr>
                <w:b/>
                <w:color w:val="auto"/>
                <w:sz w:val="24"/>
                <w:szCs w:val="24"/>
              </w:rPr>
            </w:pPr>
          </w:p>
        </w:tc>
        <w:tc>
          <w:tcPr>
            <w:tcW w:w="1153" w:type="dxa"/>
            <w:vAlign w:val="center"/>
          </w:tcPr>
          <w:p>
            <w:pPr>
              <w:tabs>
                <w:tab w:val="left" w:pos="970"/>
              </w:tabs>
              <w:ind w:firstLine="482"/>
              <w:rPr>
                <w:b/>
                <w:color w:val="auto"/>
                <w:sz w:val="24"/>
                <w:szCs w:val="24"/>
              </w:rPr>
            </w:pPr>
          </w:p>
        </w:tc>
        <w:tc>
          <w:tcPr>
            <w:tcW w:w="1570" w:type="dxa"/>
            <w:vAlign w:val="center"/>
          </w:tcPr>
          <w:p>
            <w:pPr>
              <w:tabs>
                <w:tab w:val="left" w:pos="970"/>
              </w:tabs>
              <w:ind w:firstLine="482"/>
              <w:rPr>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45" w:type="dxa"/>
            <w:vAlign w:val="center"/>
          </w:tcPr>
          <w:p>
            <w:pPr>
              <w:tabs>
                <w:tab w:val="left" w:pos="970"/>
              </w:tabs>
              <w:spacing w:before="156" w:beforeLines="50" w:after="156" w:afterLines="50"/>
              <w:ind w:firstLine="480"/>
              <w:rPr>
                <w:color w:val="auto"/>
                <w:sz w:val="24"/>
                <w:szCs w:val="24"/>
              </w:rPr>
            </w:pPr>
          </w:p>
        </w:tc>
        <w:tc>
          <w:tcPr>
            <w:tcW w:w="1350" w:type="dxa"/>
            <w:vAlign w:val="center"/>
          </w:tcPr>
          <w:p>
            <w:pPr>
              <w:tabs>
                <w:tab w:val="left" w:pos="970"/>
              </w:tabs>
              <w:ind w:firstLine="480"/>
              <w:rPr>
                <w:bCs/>
                <w:color w:val="auto"/>
                <w:sz w:val="24"/>
                <w:szCs w:val="24"/>
              </w:rPr>
            </w:pPr>
          </w:p>
        </w:tc>
        <w:tc>
          <w:tcPr>
            <w:tcW w:w="2564" w:type="dxa"/>
            <w:vAlign w:val="center"/>
          </w:tcPr>
          <w:p>
            <w:pPr>
              <w:tabs>
                <w:tab w:val="left" w:pos="970"/>
              </w:tabs>
              <w:ind w:firstLine="480"/>
              <w:rPr>
                <w:bCs/>
                <w:color w:val="auto"/>
                <w:sz w:val="24"/>
                <w:szCs w:val="24"/>
              </w:rPr>
            </w:pPr>
          </w:p>
        </w:tc>
        <w:tc>
          <w:tcPr>
            <w:tcW w:w="1091" w:type="dxa"/>
            <w:vAlign w:val="center"/>
          </w:tcPr>
          <w:p>
            <w:pPr>
              <w:tabs>
                <w:tab w:val="left" w:pos="970"/>
              </w:tabs>
              <w:ind w:firstLine="480"/>
              <w:rPr>
                <w:bCs/>
                <w:color w:val="auto"/>
                <w:sz w:val="24"/>
                <w:szCs w:val="24"/>
              </w:rPr>
            </w:pPr>
          </w:p>
        </w:tc>
        <w:tc>
          <w:tcPr>
            <w:tcW w:w="818" w:type="dxa"/>
            <w:vAlign w:val="center"/>
          </w:tcPr>
          <w:p>
            <w:pPr>
              <w:tabs>
                <w:tab w:val="left" w:pos="970"/>
              </w:tabs>
              <w:ind w:firstLine="482"/>
              <w:rPr>
                <w:b/>
                <w:color w:val="auto"/>
                <w:sz w:val="24"/>
                <w:szCs w:val="24"/>
              </w:rPr>
            </w:pPr>
          </w:p>
        </w:tc>
        <w:tc>
          <w:tcPr>
            <w:tcW w:w="1153" w:type="dxa"/>
            <w:vAlign w:val="center"/>
          </w:tcPr>
          <w:p>
            <w:pPr>
              <w:tabs>
                <w:tab w:val="left" w:pos="970"/>
              </w:tabs>
              <w:ind w:firstLine="482"/>
              <w:rPr>
                <w:b/>
                <w:color w:val="auto"/>
                <w:sz w:val="24"/>
                <w:szCs w:val="24"/>
              </w:rPr>
            </w:pPr>
          </w:p>
        </w:tc>
        <w:tc>
          <w:tcPr>
            <w:tcW w:w="1570" w:type="dxa"/>
            <w:vAlign w:val="center"/>
          </w:tcPr>
          <w:p>
            <w:pPr>
              <w:tabs>
                <w:tab w:val="left" w:pos="970"/>
              </w:tabs>
              <w:ind w:firstLine="482"/>
              <w:rPr>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45" w:type="dxa"/>
            <w:vAlign w:val="center"/>
          </w:tcPr>
          <w:p>
            <w:pPr>
              <w:tabs>
                <w:tab w:val="left" w:pos="970"/>
              </w:tabs>
              <w:spacing w:after="84"/>
              <w:ind w:firstLine="480"/>
              <w:rPr>
                <w:color w:val="auto"/>
                <w:sz w:val="24"/>
                <w:szCs w:val="24"/>
              </w:rPr>
            </w:pPr>
          </w:p>
        </w:tc>
        <w:tc>
          <w:tcPr>
            <w:tcW w:w="1350" w:type="dxa"/>
            <w:vAlign w:val="center"/>
          </w:tcPr>
          <w:p>
            <w:pPr>
              <w:tabs>
                <w:tab w:val="left" w:pos="970"/>
              </w:tabs>
              <w:spacing w:after="84"/>
              <w:ind w:firstLine="480"/>
              <w:rPr>
                <w:bCs/>
                <w:color w:val="auto"/>
                <w:sz w:val="24"/>
                <w:szCs w:val="24"/>
              </w:rPr>
            </w:pPr>
          </w:p>
        </w:tc>
        <w:tc>
          <w:tcPr>
            <w:tcW w:w="2564" w:type="dxa"/>
            <w:vAlign w:val="center"/>
          </w:tcPr>
          <w:p>
            <w:pPr>
              <w:tabs>
                <w:tab w:val="left" w:pos="970"/>
              </w:tabs>
              <w:spacing w:after="84"/>
              <w:ind w:firstLine="480"/>
              <w:rPr>
                <w:bCs/>
                <w:color w:val="auto"/>
                <w:sz w:val="24"/>
                <w:szCs w:val="24"/>
              </w:rPr>
            </w:pPr>
          </w:p>
        </w:tc>
        <w:tc>
          <w:tcPr>
            <w:tcW w:w="1091" w:type="dxa"/>
            <w:vAlign w:val="center"/>
          </w:tcPr>
          <w:p>
            <w:pPr>
              <w:tabs>
                <w:tab w:val="left" w:pos="970"/>
              </w:tabs>
              <w:spacing w:after="84"/>
              <w:ind w:firstLine="480"/>
              <w:rPr>
                <w:bCs/>
                <w:color w:val="auto"/>
                <w:sz w:val="24"/>
                <w:szCs w:val="24"/>
              </w:rPr>
            </w:pPr>
          </w:p>
        </w:tc>
        <w:tc>
          <w:tcPr>
            <w:tcW w:w="818" w:type="dxa"/>
            <w:vAlign w:val="center"/>
          </w:tcPr>
          <w:p>
            <w:pPr>
              <w:tabs>
                <w:tab w:val="left" w:pos="970"/>
              </w:tabs>
              <w:spacing w:after="84"/>
              <w:ind w:firstLine="482"/>
              <w:rPr>
                <w:b/>
                <w:color w:val="auto"/>
                <w:sz w:val="24"/>
                <w:szCs w:val="24"/>
              </w:rPr>
            </w:pPr>
          </w:p>
        </w:tc>
        <w:tc>
          <w:tcPr>
            <w:tcW w:w="1153" w:type="dxa"/>
            <w:vAlign w:val="center"/>
          </w:tcPr>
          <w:p>
            <w:pPr>
              <w:tabs>
                <w:tab w:val="left" w:pos="970"/>
              </w:tabs>
              <w:spacing w:after="84"/>
              <w:ind w:firstLine="482"/>
              <w:rPr>
                <w:b/>
                <w:color w:val="auto"/>
                <w:sz w:val="24"/>
                <w:szCs w:val="24"/>
              </w:rPr>
            </w:pPr>
          </w:p>
        </w:tc>
        <w:tc>
          <w:tcPr>
            <w:tcW w:w="1570" w:type="dxa"/>
            <w:vAlign w:val="center"/>
          </w:tcPr>
          <w:p>
            <w:pPr>
              <w:tabs>
                <w:tab w:val="left" w:pos="970"/>
              </w:tabs>
              <w:spacing w:after="84"/>
              <w:ind w:firstLine="482"/>
              <w:rPr>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45" w:type="dxa"/>
            <w:vAlign w:val="center"/>
          </w:tcPr>
          <w:p>
            <w:pPr>
              <w:tabs>
                <w:tab w:val="left" w:pos="970"/>
              </w:tabs>
              <w:spacing w:after="84"/>
              <w:ind w:firstLine="480"/>
              <w:rPr>
                <w:color w:val="auto"/>
                <w:sz w:val="24"/>
                <w:szCs w:val="24"/>
              </w:rPr>
            </w:pPr>
          </w:p>
        </w:tc>
        <w:tc>
          <w:tcPr>
            <w:tcW w:w="1350" w:type="dxa"/>
            <w:vAlign w:val="center"/>
          </w:tcPr>
          <w:p>
            <w:pPr>
              <w:tabs>
                <w:tab w:val="left" w:pos="970"/>
              </w:tabs>
              <w:spacing w:after="84"/>
              <w:ind w:firstLine="480"/>
              <w:rPr>
                <w:bCs/>
                <w:color w:val="auto"/>
                <w:sz w:val="24"/>
                <w:szCs w:val="24"/>
              </w:rPr>
            </w:pPr>
          </w:p>
        </w:tc>
        <w:tc>
          <w:tcPr>
            <w:tcW w:w="2564" w:type="dxa"/>
            <w:vAlign w:val="center"/>
          </w:tcPr>
          <w:p>
            <w:pPr>
              <w:tabs>
                <w:tab w:val="left" w:pos="970"/>
              </w:tabs>
              <w:spacing w:after="84"/>
              <w:ind w:firstLine="480"/>
              <w:rPr>
                <w:bCs/>
                <w:color w:val="auto"/>
                <w:sz w:val="24"/>
                <w:szCs w:val="24"/>
              </w:rPr>
            </w:pPr>
          </w:p>
        </w:tc>
        <w:tc>
          <w:tcPr>
            <w:tcW w:w="1091" w:type="dxa"/>
            <w:vAlign w:val="center"/>
          </w:tcPr>
          <w:p>
            <w:pPr>
              <w:tabs>
                <w:tab w:val="left" w:pos="970"/>
              </w:tabs>
              <w:spacing w:after="84"/>
              <w:ind w:firstLine="480"/>
              <w:rPr>
                <w:bCs/>
                <w:color w:val="auto"/>
                <w:sz w:val="24"/>
                <w:szCs w:val="24"/>
              </w:rPr>
            </w:pPr>
          </w:p>
        </w:tc>
        <w:tc>
          <w:tcPr>
            <w:tcW w:w="818" w:type="dxa"/>
            <w:vAlign w:val="center"/>
          </w:tcPr>
          <w:p>
            <w:pPr>
              <w:tabs>
                <w:tab w:val="left" w:pos="970"/>
              </w:tabs>
              <w:spacing w:after="84"/>
              <w:ind w:firstLine="482"/>
              <w:rPr>
                <w:b/>
                <w:color w:val="auto"/>
                <w:sz w:val="24"/>
                <w:szCs w:val="24"/>
              </w:rPr>
            </w:pPr>
          </w:p>
        </w:tc>
        <w:tc>
          <w:tcPr>
            <w:tcW w:w="1153" w:type="dxa"/>
            <w:vAlign w:val="center"/>
          </w:tcPr>
          <w:p>
            <w:pPr>
              <w:tabs>
                <w:tab w:val="left" w:pos="970"/>
              </w:tabs>
              <w:spacing w:after="84"/>
              <w:ind w:firstLine="482"/>
              <w:rPr>
                <w:b/>
                <w:color w:val="auto"/>
                <w:sz w:val="24"/>
                <w:szCs w:val="24"/>
              </w:rPr>
            </w:pPr>
          </w:p>
        </w:tc>
        <w:tc>
          <w:tcPr>
            <w:tcW w:w="1570" w:type="dxa"/>
            <w:vAlign w:val="center"/>
          </w:tcPr>
          <w:p>
            <w:pPr>
              <w:tabs>
                <w:tab w:val="left" w:pos="970"/>
              </w:tabs>
              <w:spacing w:after="84"/>
              <w:ind w:firstLine="482"/>
              <w:rPr>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7821" w:type="dxa"/>
            <w:gridSpan w:val="6"/>
            <w:vAlign w:val="center"/>
          </w:tcPr>
          <w:p>
            <w:pPr>
              <w:tabs>
                <w:tab w:val="left" w:pos="970"/>
              </w:tabs>
              <w:spacing w:after="84"/>
              <w:ind w:firstLine="482"/>
              <w:jc w:val="center"/>
              <w:rPr>
                <w:rFonts w:hint="eastAsia"/>
                <w:b/>
                <w:color w:val="auto"/>
                <w:sz w:val="24"/>
                <w:szCs w:val="24"/>
              </w:rPr>
            </w:pPr>
            <w:r>
              <w:rPr>
                <w:rFonts w:hint="eastAsia"/>
                <w:b/>
                <w:color w:val="auto"/>
                <w:sz w:val="24"/>
                <w:szCs w:val="24"/>
              </w:rPr>
              <w:t>投标报价合计</w:t>
            </w:r>
          </w:p>
        </w:tc>
        <w:tc>
          <w:tcPr>
            <w:tcW w:w="1570" w:type="dxa"/>
            <w:vAlign w:val="center"/>
          </w:tcPr>
          <w:p>
            <w:pPr>
              <w:tabs>
                <w:tab w:val="left" w:pos="970"/>
              </w:tabs>
              <w:spacing w:after="84"/>
              <w:ind w:firstLine="482"/>
              <w:jc w:val="center"/>
              <w:rPr>
                <w:b/>
                <w:color w:val="auto"/>
                <w:sz w:val="24"/>
                <w:szCs w:val="24"/>
              </w:rPr>
            </w:pPr>
          </w:p>
        </w:tc>
      </w:tr>
    </w:tbl>
    <w:p>
      <w:pPr>
        <w:pStyle w:val="49"/>
        <w:numPr>
          <w:ilvl w:val="0"/>
          <w:numId w:val="0"/>
        </w:numPr>
        <w:tabs>
          <w:tab w:val="left" w:pos="660"/>
        </w:tabs>
        <w:snapToGrid w:val="0"/>
        <w:spacing w:before="0" w:line="400" w:lineRule="exact"/>
        <w:ind w:left="254"/>
        <w:rPr>
          <w:rFonts w:cs="微软雅黑"/>
          <w:color w:val="auto"/>
          <w:sz w:val="24"/>
          <w:szCs w:val="24"/>
        </w:rPr>
      </w:pPr>
      <w:r>
        <w:rPr>
          <w:rFonts w:hint="eastAsia" w:cs="微软雅黑"/>
          <w:color w:val="auto"/>
          <w:sz w:val="24"/>
          <w:szCs w:val="24"/>
        </w:rPr>
        <w:t>说明：</w:t>
      </w:r>
    </w:p>
    <w:p>
      <w:pPr>
        <w:pStyle w:val="49"/>
        <w:numPr>
          <w:ilvl w:val="0"/>
          <w:numId w:val="0"/>
        </w:numPr>
        <w:tabs>
          <w:tab w:val="left" w:pos="660"/>
        </w:tabs>
        <w:snapToGrid w:val="0"/>
        <w:spacing w:before="0" w:line="400" w:lineRule="exact"/>
        <w:ind w:left="254"/>
        <w:rPr>
          <w:color w:val="auto"/>
          <w:sz w:val="24"/>
          <w:szCs w:val="24"/>
        </w:rPr>
      </w:pPr>
      <w:r>
        <w:rPr>
          <w:rFonts w:hint="eastAsia"/>
          <w:color w:val="auto"/>
          <w:sz w:val="24"/>
          <w:szCs w:val="24"/>
        </w:rPr>
        <w:t>1、投标分项报价表汇总总价须与投标一览表的总价一致。</w:t>
      </w:r>
    </w:p>
    <w:p>
      <w:pPr>
        <w:pStyle w:val="13"/>
        <w:spacing w:line="360" w:lineRule="auto"/>
        <w:ind w:left="274" w:leftChars="114" w:firstLine="0" w:firstLineChars="0"/>
        <w:rPr>
          <w:rFonts w:hint="eastAsia" w:cs="微软雅黑"/>
          <w:color w:val="auto"/>
          <w:sz w:val="24"/>
          <w:szCs w:val="24"/>
        </w:rPr>
      </w:pPr>
      <w:r>
        <w:rPr>
          <w:rFonts w:hint="eastAsia"/>
          <w:color w:val="auto"/>
          <w:sz w:val="24"/>
          <w:szCs w:val="24"/>
        </w:rPr>
        <w:t>2、投标分项报价表中所填写的货物和服务名称、数量须与</w:t>
      </w:r>
      <w:r>
        <w:rPr>
          <w:rFonts w:hint="eastAsia" w:cs="微软雅黑"/>
          <w:color w:val="auto"/>
          <w:sz w:val="24"/>
          <w:szCs w:val="24"/>
        </w:rPr>
        <w:t>第</w:t>
      </w:r>
      <w:r>
        <w:rPr>
          <w:rFonts w:hint="eastAsia" w:cs="微软雅黑"/>
          <w:color w:val="auto"/>
          <w:sz w:val="24"/>
          <w:szCs w:val="24"/>
          <w:lang w:eastAsia="zh-CN"/>
        </w:rPr>
        <w:t>四</w:t>
      </w:r>
      <w:r>
        <w:rPr>
          <w:rFonts w:hint="eastAsia" w:cs="微软雅黑"/>
          <w:color w:val="auto"/>
          <w:sz w:val="24"/>
          <w:szCs w:val="24"/>
        </w:rPr>
        <w:t>部分采购清单列明的项目、数量一致。</w:t>
      </w:r>
    </w:p>
    <w:p>
      <w:pPr>
        <w:pStyle w:val="13"/>
        <w:spacing w:line="360" w:lineRule="auto"/>
        <w:ind w:left="274" w:leftChars="114" w:firstLine="0" w:firstLineChars="0"/>
        <w:rPr>
          <w:rFonts w:hint="eastAsia" w:cs="微软雅黑"/>
          <w:color w:val="auto"/>
          <w:sz w:val="24"/>
          <w:szCs w:val="24"/>
        </w:rPr>
      </w:pPr>
    </w:p>
    <w:p>
      <w:pPr>
        <w:pStyle w:val="13"/>
        <w:spacing w:line="360" w:lineRule="auto"/>
        <w:rPr>
          <w:rFonts w:hint="eastAsia" w:hAnsi="宋体"/>
          <w:color w:val="auto"/>
          <w:sz w:val="24"/>
        </w:rPr>
      </w:pPr>
      <w:r>
        <w:rPr>
          <w:rFonts w:hint="eastAsia" w:hAnsi="宋体"/>
          <w:color w:val="auto"/>
          <w:sz w:val="24"/>
          <w:szCs w:val="24"/>
        </w:rPr>
        <w:t>投标人公章（电子签章）：</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pPr>
        <w:spacing w:line="360" w:lineRule="auto"/>
        <w:jc w:val="left"/>
        <w:rPr>
          <w:rFonts w:hint="eastAsia" w:ascii="宋体" w:hAnsi="宋体"/>
          <w:color w:val="auto"/>
          <w:sz w:val="24"/>
          <w:szCs w:val="24"/>
          <w:u w:val="single"/>
        </w:rPr>
      </w:pPr>
      <w:r>
        <w:rPr>
          <w:rFonts w:hint="eastAsia" w:ascii="宋体" w:hAnsi="宋体"/>
          <w:color w:val="auto"/>
          <w:sz w:val="24"/>
          <w:szCs w:val="24"/>
        </w:rPr>
        <w:t>日    期：</w:t>
      </w:r>
      <w:r>
        <w:rPr>
          <w:rFonts w:hint="eastAsia" w:ascii="宋体" w:hAnsi="宋体"/>
          <w:color w:val="auto"/>
          <w:sz w:val="24"/>
          <w:szCs w:val="24"/>
          <w:u w:val="single"/>
        </w:rPr>
        <w:t xml:space="preserve">                         </w:t>
      </w:r>
    </w:p>
    <w:p>
      <w:pPr>
        <w:spacing w:line="360" w:lineRule="auto"/>
        <w:rPr>
          <w:rFonts w:hint="eastAsia" w:ascii="宋体" w:hAnsi="宋体"/>
          <w:b/>
          <w:bCs/>
          <w:color w:val="auto"/>
          <w:sz w:val="24"/>
          <w:szCs w:val="24"/>
        </w:rPr>
      </w:pPr>
      <w:r>
        <w:rPr>
          <w:rFonts w:hint="eastAsia" w:ascii="宋体" w:hAnsi="宋体"/>
          <w:b/>
          <w:bCs/>
          <w:color w:val="auto"/>
          <w:sz w:val="24"/>
          <w:szCs w:val="24"/>
        </w:rPr>
        <w:t>附件5 偏离表</w:t>
      </w:r>
    </w:p>
    <w:p>
      <w:pPr>
        <w:pStyle w:val="4"/>
        <w:numPr>
          <w:ilvl w:val="-1"/>
          <w:numId w:val="0"/>
        </w:numPr>
        <w:rPr>
          <w:rFonts w:hint="eastAsia" w:ascii="宋体" w:hAnsi="宋体" w:eastAsia="宋体"/>
          <w:color w:val="auto"/>
          <w:sz w:val="24"/>
        </w:rPr>
      </w:pPr>
      <w:r>
        <w:rPr>
          <w:rFonts w:hint="eastAsia" w:ascii="宋体" w:hAnsi="宋体" w:eastAsia="宋体"/>
          <w:color w:val="auto"/>
          <w:sz w:val="24"/>
        </w:rPr>
        <w:t>表5-1：技术规格偏离表</w:t>
      </w:r>
    </w:p>
    <w:p>
      <w:pPr>
        <w:spacing w:line="300" w:lineRule="auto"/>
        <w:jc w:val="left"/>
        <w:rPr>
          <w:rFonts w:hint="eastAsia" w:ascii="宋体" w:hAnsi="宋体"/>
          <w:color w:val="auto"/>
          <w:sz w:val="24"/>
          <w:szCs w:val="24"/>
        </w:rPr>
      </w:pPr>
      <w:r>
        <w:rPr>
          <w:rFonts w:hint="eastAsia" w:ascii="宋体" w:hAnsi="宋体"/>
          <w:color w:val="auto"/>
          <w:sz w:val="24"/>
          <w:szCs w:val="24"/>
        </w:rPr>
        <w:t>项目编号：</w:t>
      </w:r>
    </w:p>
    <w:p>
      <w:pPr>
        <w:pStyle w:val="13"/>
        <w:rPr>
          <w:rFonts w:hint="eastAsia" w:hAnsi="宋体"/>
          <w:color w:val="auto"/>
          <w:sz w:val="24"/>
        </w:rPr>
      </w:pPr>
      <w:r>
        <w:rPr>
          <w:rFonts w:hint="eastAsia" w:hAnsi="宋体"/>
          <w:color w:val="auto"/>
          <w:sz w:val="24"/>
          <w:szCs w:val="24"/>
        </w:rPr>
        <w:t>项目名称：</w:t>
      </w:r>
    </w:p>
    <w:tbl>
      <w:tblPr>
        <w:tblStyle w:val="3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278"/>
        <w:gridCol w:w="736"/>
        <w:gridCol w:w="1296"/>
        <w:gridCol w:w="1377"/>
        <w:gridCol w:w="107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828" w:type="dxa"/>
            <w:vAlign w:val="center"/>
          </w:tcPr>
          <w:p>
            <w:pPr>
              <w:pStyle w:val="13"/>
              <w:jc w:val="center"/>
              <w:rPr>
                <w:rFonts w:hint="eastAsia" w:hAnsi="宋体"/>
                <w:color w:val="auto"/>
                <w:sz w:val="24"/>
              </w:rPr>
            </w:pPr>
            <w:r>
              <w:rPr>
                <w:rFonts w:hint="eastAsia" w:hAnsi="宋体"/>
                <w:b/>
                <w:color w:val="auto"/>
              </w:rPr>
              <w:t>序 号</w:t>
            </w:r>
          </w:p>
        </w:tc>
        <w:tc>
          <w:tcPr>
            <w:tcW w:w="1260" w:type="dxa"/>
            <w:vAlign w:val="center"/>
          </w:tcPr>
          <w:p>
            <w:pPr>
              <w:pStyle w:val="13"/>
              <w:jc w:val="center"/>
              <w:rPr>
                <w:rFonts w:hint="eastAsia" w:hAnsi="宋体"/>
                <w:color w:val="auto"/>
                <w:sz w:val="24"/>
              </w:rPr>
            </w:pPr>
            <w:r>
              <w:rPr>
                <w:rFonts w:hint="eastAsia" w:hAnsi="宋体"/>
                <w:b/>
                <w:color w:val="auto"/>
              </w:rPr>
              <w:t>货物或服务名称</w:t>
            </w:r>
          </w:p>
        </w:tc>
        <w:tc>
          <w:tcPr>
            <w:tcW w:w="1278" w:type="dxa"/>
            <w:vAlign w:val="center"/>
          </w:tcPr>
          <w:p>
            <w:pPr>
              <w:pStyle w:val="13"/>
              <w:jc w:val="center"/>
              <w:rPr>
                <w:rFonts w:hint="eastAsia" w:hAnsi="宋体"/>
                <w:color w:val="auto"/>
                <w:sz w:val="24"/>
              </w:rPr>
            </w:pPr>
            <w:r>
              <w:rPr>
                <w:rFonts w:hint="eastAsia" w:hAnsi="宋体"/>
                <w:b/>
                <w:color w:val="auto"/>
              </w:rPr>
              <w:t>型号和规格</w:t>
            </w:r>
          </w:p>
        </w:tc>
        <w:tc>
          <w:tcPr>
            <w:tcW w:w="736" w:type="dxa"/>
            <w:vAlign w:val="center"/>
          </w:tcPr>
          <w:p>
            <w:pPr>
              <w:pStyle w:val="13"/>
              <w:jc w:val="center"/>
              <w:rPr>
                <w:rFonts w:hint="eastAsia" w:hAnsi="宋体"/>
                <w:color w:val="auto"/>
                <w:sz w:val="24"/>
              </w:rPr>
            </w:pPr>
            <w:r>
              <w:rPr>
                <w:rFonts w:hint="eastAsia" w:hAnsi="宋体"/>
                <w:b/>
                <w:color w:val="auto"/>
              </w:rPr>
              <w:t>数 量</w:t>
            </w:r>
          </w:p>
        </w:tc>
        <w:tc>
          <w:tcPr>
            <w:tcW w:w="1296" w:type="dxa"/>
            <w:vAlign w:val="center"/>
          </w:tcPr>
          <w:p>
            <w:pPr>
              <w:pStyle w:val="13"/>
              <w:jc w:val="center"/>
              <w:rPr>
                <w:rFonts w:hint="eastAsia" w:hAnsi="宋体"/>
                <w:color w:val="auto"/>
                <w:sz w:val="24"/>
              </w:rPr>
            </w:pPr>
            <w:r>
              <w:rPr>
                <w:rFonts w:hint="eastAsia" w:hAnsi="宋体"/>
                <w:b/>
                <w:color w:val="auto"/>
              </w:rPr>
              <w:t>招标文件技术参数</w:t>
            </w:r>
          </w:p>
        </w:tc>
        <w:tc>
          <w:tcPr>
            <w:tcW w:w="1377" w:type="dxa"/>
            <w:vAlign w:val="center"/>
          </w:tcPr>
          <w:p>
            <w:pPr>
              <w:pStyle w:val="13"/>
              <w:jc w:val="center"/>
              <w:rPr>
                <w:rFonts w:hint="eastAsia" w:hAnsi="宋体"/>
                <w:color w:val="auto"/>
                <w:sz w:val="24"/>
              </w:rPr>
            </w:pPr>
            <w:r>
              <w:rPr>
                <w:rFonts w:hint="eastAsia" w:hAnsi="宋体"/>
                <w:b/>
                <w:color w:val="auto"/>
              </w:rPr>
              <w:t>投标技术参数</w:t>
            </w:r>
          </w:p>
        </w:tc>
        <w:tc>
          <w:tcPr>
            <w:tcW w:w="1073" w:type="dxa"/>
            <w:vAlign w:val="center"/>
          </w:tcPr>
          <w:p>
            <w:pPr>
              <w:pStyle w:val="13"/>
              <w:jc w:val="center"/>
              <w:rPr>
                <w:rFonts w:hAnsi="宋体"/>
                <w:b/>
                <w:color w:val="auto"/>
              </w:rPr>
            </w:pPr>
            <w:r>
              <w:rPr>
                <w:rFonts w:hint="eastAsia" w:hAnsi="宋体"/>
                <w:b/>
                <w:color w:val="auto"/>
              </w:rPr>
              <w:t>偏离情况</w:t>
            </w:r>
          </w:p>
          <w:p>
            <w:pPr>
              <w:pStyle w:val="13"/>
              <w:jc w:val="center"/>
              <w:rPr>
                <w:rFonts w:hint="eastAsia" w:hAnsi="宋体"/>
                <w:color w:val="auto"/>
                <w:sz w:val="24"/>
              </w:rPr>
            </w:pPr>
            <w:r>
              <w:rPr>
                <w:rFonts w:hint="eastAsia" w:hAnsi="宋体"/>
                <w:b/>
                <w:color w:val="auto"/>
              </w:rPr>
              <w:t>（无偏离/正偏离/负偏离）</w:t>
            </w:r>
          </w:p>
        </w:tc>
        <w:tc>
          <w:tcPr>
            <w:tcW w:w="900" w:type="dxa"/>
            <w:vAlign w:val="center"/>
          </w:tcPr>
          <w:p>
            <w:pPr>
              <w:pStyle w:val="13"/>
              <w:jc w:val="center"/>
              <w:rPr>
                <w:rFonts w:hint="eastAsia" w:hAnsi="宋体"/>
                <w:color w:val="auto"/>
                <w:sz w:val="24"/>
              </w:rPr>
            </w:pPr>
            <w:r>
              <w:rPr>
                <w:rFonts w:hint="eastAsia" w:hAnsi="宋体"/>
                <w:b/>
                <w:color w:val="auto"/>
              </w:rPr>
              <w:t>偏离内容说明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828" w:type="dxa"/>
            <w:vAlign w:val="top"/>
          </w:tcPr>
          <w:p>
            <w:pPr>
              <w:pStyle w:val="13"/>
              <w:rPr>
                <w:rFonts w:hint="eastAsia" w:hAnsi="宋体"/>
                <w:color w:val="auto"/>
                <w:sz w:val="24"/>
              </w:rPr>
            </w:pPr>
          </w:p>
        </w:tc>
        <w:tc>
          <w:tcPr>
            <w:tcW w:w="1260" w:type="dxa"/>
            <w:vAlign w:val="top"/>
          </w:tcPr>
          <w:p>
            <w:pPr>
              <w:pStyle w:val="13"/>
              <w:rPr>
                <w:rFonts w:hint="eastAsia" w:hAnsi="宋体"/>
                <w:color w:val="auto"/>
                <w:sz w:val="24"/>
              </w:rPr>
            </w:pPr>
          </w:p>
        </w:tc>
        <w:tc>
          <w:tcPr>
            <w:tcW w:w="1278" w:type="dxa"/>
            <w:vAlign w:val="top"/>
          </w:tcPr>
          <w:p>
            <w:pPr>
              <w:pStyle w:val="13"/>
              <w:rPr>
                <w:rFonts w:hint="eastAsia" w:hAnsi="宋体"/>
                <w:color w:val="auto"/>
                <w:sz w:val="24"/>
              </w:rPr>
            </w:pPr>
          </w:p>
        </w:tc>
        <w:tc>
          <w:tcPr>
            <w:tcW w:w="736" w:type="dxa"/>
            <w:vAlign w:val="top"/>
          </w:tcPr>
          <w:p>
            <w:pPr>
              <w:pStyle w:val="13"/>
              <w:rPr>
                <w:rFonts w:hint="eastAsia" w:hAnsi="宋体"/>
                <w:color w:val="auto"/>
                <w:sz w:val="24"/>
              </w:rPr>
            </w:pPr>
          </w:p>
        </w:tc>
        <w:tc>
          <w:tcPr>
            <w:tcW w:w="1296" w:type="dxa"/>
            <w:vAlign w:val="top"/>
          </w:tcPr>
          <w:p>
            <w:pPr>
              <w:pStyle w:val="13"/>
              <w:rPr>
                <w:rFonts w:hint="eastAsia" w:hAnsi="宋体"/>
                <w:color w:val="auto"/>
                <w:sz w:val="24"/>
              </w:rPr>
            </w:pPr>
          </w:p>
        </w:tc>
        <w:tc>
          <w:tcPr>
            <w:tcW w:w="1377" w:type="dxa"/>
            <w:vAlign w:val="top"/>
          </w:tcPr>
          <w:p>
            <w:pPr>
              <w:pStyle w:val="13"/>
              <w:rPr>
                <w:rFonts w:hint="eastAsia" w:hAnsi="宋体"/>
                <w:color w:val="auto"/>
                <w:sz w:val="24"/>
              </w:rPr>
            </w:pPr>
          </w:p>
        </w:tc>
        <w:tc>
          <w:tcPr>
            <w:tcW w:w="1073" w:type="dxa"/>
            <w:vAlign w:val="top"/>
          </w:tcPr>
          <w:p>
            <w:pPr>
              <w:pStyle w:val="13"/>
              <w:rPr>
                <w:rFonts w:hint="eastAsia" w:hAnsi="宋体"/>
                <w:color w:val="auto"/>
                <w:sz w:val="24"/>
              </w:rPr>
            </w:pPr>
          </w:p>
        </w:tc>
        <w:tc>
          <w:tcPr>
            <w:tcW w:w="900" w:type="dxa"/>
            <w:vAlign w:val="top"/>
          </w:tcPr>
          <w:p>
            <w:pPr>
              <w:pStyle w:val="13"/>
              <w:rPr>
                <w:rFonts w:hint="eastAsia"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828" w:type="dxa"/>
            <w:vAlign w:val="top"/>
          </w:tcPr>
          <w:p>
            <w:pPr>
              <w:pStyle w:val="13"/>
              <w:rPr>
                <w:rFonts w:hint="eastAsia" w:hAnsi="宋体"/>
                <w:color w:val="auto"/>
                <w:sz w:val="24"/>
              </w:rPr>
            </w:pPr>
          </w:p>
        </w:tc>
        <w:tc>
          <w:tcPr>
            <w:tcW w:w="1260" w:type="dxa"/>
            <w:vAlign w:val="top"/>
          </w:tcPr>
          <w:p>
            <w:pPr>
              <w:pStyle w:val="13"/>
              <w:rPr>
                <w:rFonts w:hint="eastAsia" w:hAnsi="宋体"/>
                <w:color w:val="auto"/>
                <w:sz w:val="24"/>
              </w:rPr>
            </w:pPr>
          </w:p>
        </w:tc>
        <w:tc>
          <w:tcPr>
            <w:tcW w:w="1278" w:type="dxa"/>
            <w:vAlign w:val="top"/>
          </w:tcPr>
          <w:p>
            <w:pPr>
              <w:pStyle w:val="13"/>
              <w:rPr>
                <w:rFonts w:hint="eastAsia" w:hAnsi="宋体"/>
                <w:color w:val="auto"/>
                <w:sz w:val="24"/>
              </w:rPr>
            </w:pPr>
          </w:p>
        </w:tc>
        <w:tc>
          <w:tcPr>
            <w:tcW w:w="736" w:type="dxa"/>
            <w:vAlign w:val="top"/>
          </w:tcPr>
          <w:p>
            <w:pPr>
              <w:pStyle w:val="13"/>
              <w:rPr>
                <w:rFonts w:hint="eastAsia" w:hAnsi="宋体"/>
                <w:color w:val="auto"/>
                <w:sz w:val="24"/>
              </w:rPr>
            </w:pPr>
          </w:p>
        </w:tc>
        <w:tc>
          <w:tcPr>
            <w:tcW w:w="1296" w:type="dxa"/>
            <w:vAlign w:val="top"/>
          </w:tcPr>
          <w:p>
            <w:pPr>
              <w:pStyle w:val="13"/>
              <w:rPr>
                <w:rFonts w:hint="eastAsia" w:hAnsi="宋体"/>
                <w:color w:val="auto"/>
                <w:sz w:val="24"/>
              </w:rPr>
            </w:pPr>
          </w:p>
        </w:tc>
        <w:tc>
          <w:tcPr>
            <w:tcW w:w="1377" w:type="dxa"/>
            <w:vAlign w:val="top"/>
          </w:tcPr>
          <w:p>
            <w:pPr>
              <w:pStyle w:val="13"/>
              <w:rPr>
                <w:rFonts w:hint="eastAsia" w:hAnsi="宋体"/>
                <w:color w:val="auto"/>
                <w:sz w:val="24"/>
              </w:rPr>
            </w:pPr>
          </w:p>
        </w:tc>
        <w:tc>
          <w:tcPr>
            <w:tcW w:w="1073" w:type="dxa"/>
            <w:vAlign w:val="top"/>
          </w:tcPr>
          <w:p>
            <w:pPr>
              <w:pStyle w:val="13"/>
              <w:rPr>
                <w:rFonts w:hint="eastAsia" w:hAnsi="宋体"/>
                <w:color w:val="auto"/>
                <w:sz w:val="24"/>
              </w:rPr>
            </w:pPr>
          </w:p>
        </w:tc>
        <w:tc>
          <w:tcPr>
            <w:tcW w:w="900" w:type="dxa"/>
            <w:vAlign w:val="top"/>
          </w:tcPr>
          <w:p>
            <w:pPr>
              <w:pStyle w:val="13"/>
              <w:rPr>
                <w:rFonts w:hint="eastAsia"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828" w:type="dxa"/>
            <w:vAlign w:val="top"/>
          </w:tcPr>
          <w:p>
            <w:pPr>
              <w:pStyle w:val="13"/>
              <w:rPr>
                <w:rFonts w:hint="eastAsia" w:hAnsi="宋体"/>
                <w:color w:val="auto"/>
                <w:sz w:val="24"/>
              </w:rPr>
            </w:pPr>
          </w:p>
        </w:tc>
        <w:tc>
          <w:tcPr>
            <w:tcW w:w="1260" w:type="dxa"/>
            <w:vAlign w:val="top"/>
          </w:tcPr>
          <w:p>
            <w:pPr>
              <w:pStyle w:val="13"/>
              <w:rPr>
                <w:rFonts w:hint="eastAsia" w:hAnsi="宋体"/>
                <w:color w:val="auto"/>
                <w:sz w:val="24"/>
              </w:rPr>
            </w:pPr>
          </w:p>
        </w:tc>
        <w:tc>
          <w:tcPr>
            <w:tcW w:w="1278" w:type="dxa"/>
            <w:vAlign w:val="top"/>
          </w:tcPr>
          <w:p>
            <w:pPr>
              <w:pStyle w:val="13"/>
              <w:rPr>
                <w:rFonts w:hint="eastAsia" w:hAnsi="宋体"/>
                <w:color w:val="auto"/>
                <w:sz w:val="24"/>
              </w:rPr>
            </w:pPr>
          </w:p>
        </w:tc>
        <w:tc>
          <w:tcPr>
            <w:tcW w:w="736" w:type="dxa"/>
            <w:vAlign w:val="top"/>
          </w:tcPr>
          <w:p>
            <w:pPr>
              <w:pStyle w:val="13"/>
              <w:rPr>
                <w:rFonts w:hint="eastAsia" w:hAnsi="宋体"/>
                <w:color w:val="auto"/>
                <w:sz w:val="24"/>
              </w:rPr>
            </w:pPr>
          </w:p>
        </w:tc>
        <w:tc>
          <w:tcPr>
            <w:tcW w:w="1296" w:type="dxa"/>
            <w:vAlign w:val="top"/>
          </w:tcPr>
          <w:p>
            <w:pPr>
              <w:pStyle w:val="13"/>
              <w:rPr>
                <w:rFonts w:hint="eastAsia" w:hAnsi="宋体"/>
                <w:color w:val="auto"/>
                <w:sz w:val="24"/>
              </w:rPr>
            </w:pPr>
          </w:p>
        </w:tc>
        <w:tc>
          <w:tcPr>
            <w:tcW w:w="1377" w:type="dxa"/>
            <w:vAlign w:val="top"/>
          </w:tcPr>
          <w:p>
            <w:pPr>
              <w:pStyle w:val="13"/>
              <w:rPr>
                <w:rFonts w:hint="eastAsia" w:hAnsi="宋体"/>
                <w:color w:val="auto"/>
                <w:sz w:val="24"/>
              </w:rPr>
            </w:pPr>
          </w:p>
        </w:tc>
        <w:tc>
          <w:tcPr>
            <w:tcW w:w="1073" w:type="dxa"/>
            <w:vAlign w:val="top"/>
          </w:tcPr>
          <w:p>
            <w:pPr>
              <w:pStyle w:val="13"/>
              <w:rPr>
                <w:rFonts w:hint="eastAsia" w:hAnsi="宋体"/>
                <w:color w:val="auto"/>
                <w:sz w:val="24"/>
              </w:rPr>
            </w:pPr>
          </w:p>
        </w:tc>
        <w:tc>
          <w:tcPr>
            <w:tcW w:w="900" w:type="dxa"/>
            <w:vAlign w:val="top"/>
          </w:tcPr>
          <w:p>
            <w:pPr>
              <w:pStyle w:val="13"/>
              <w:rPr>
                <w:rFonts w:hint="eastAsia"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828" w:type="dxa"/>
            <w:vAlign w:val="top"/>
          </w:tcPr>
          <w:p>
            <w:pPr>
              <w:pStyle w:val="13"/>
              <w:rPr>
                <w:rFonts w:hint="eastAsia" w:hAnsi="宋体"/>
                <w:color w:val="auto"/>
                <w:sz w:val="24"/>
              </w:rPr>
            </w:pPr>
          </w:p>
        </w:tc>
        <w:tc>
          <w:tcPr>
            <w:tcW w:w="1260" w:type="dxa"/>
            <w:vAlign w:val="top"/>
          </w:tcPr>
          <w:p>
            <w:pPr>
              <w:pStyle w:val="13"/>
              <w:rPr>
                <w:rFonts w:hint="eastAsia" w:hAnsi="宋体"/>
                <w:color w:val="auto"/>
                <w:sz w:val="24"/>
              </w:rPr>
            </w:pPr>
          </w:p>
        </w:tc>
        <w:tc>
          <w:tcPr>
            <w:tcW w:w="1278" w:type="dxa"/>
            <w:vAlign w:val="top"/>
          </w:tcPr>
          <w:p>
            <w:pPr>
              <w:pStyle w:val="13"/>
              <w:rPr>
                <w:rFonts w:hint="eastAsia" w:hAnsi="宋体"/>
                <w:color w:val="auto"/>
                <w:sz w:val="24"/>
              </w:rPr>
            </w:pPr>
          </w:p>
        </w:tc>
        <w:tc>
          <w:tcPr>
            <w:tcW w:w="736" w:type="dxa"/>
            <w:vAlign w:val="top"/>
          </w:tcPr>
          <w:p>
            <w:pPr>
              <w:pStyle w:val="13"/>
              <w:rPr>
                <w:rFonts w:hint="eastAsia" w:hAnsi="宋体"/>
                <w:color w:val="auto"/>
                <w:sz w:val="24"/>
              </w:rPr>
            </w:pPr>
          </w:p>
        </w:tc>
        <w:tc>
          <w:tcPr>
            <w:tcW w:w="1296" w:type="dxa"/>
            <w:vAlign w:val="top"/>
          </w:tcPr>
          <w:p>
            <w:pPr>
              <w:pStyle w:val="13"/>
              <w:rPr>
                <w:rFonts w:hint="eastAsia" w:hAnsi="宋体"/>
                <w:color w:val="auto"/>
                <w:sz w:val="24"/>
              </w:rPr>
            </w:pPr>
          </w:p>
        </w:tc>
        <w:tc>
          <w:tcPr>
            <w:tcW w:w="1377" w:type="dxa"/>
            <w:vAlign w:val="top"/>
          </w:tcPr>
          <w:p>
            <w:pPr>
              <w:pStyle w:val="13"/>
              <w:rPr>
                <w:rFonts w:hint="eastAsia" w:hAnsi="宋体"/>
                <w:color w:val="auto"/>
                <w:sz w:val="24"/>
              </w:rPr>
            </w:pPr>
          </w:p>
        </w:tc>
        <w:tc>
          <w:tcPr>
            <w:tcW w:w="1073" w:type="dxa"/>
            <w:vAlign w:val="top"/>
          </w:tcPr>
          <w:p>
            <w:pPr>
              <w:pStyle w:val="13"/>
              <w:rPr>
                <w:rFonts w:hint="eastAsia" w:hAnsi="宋体"/>
                <w:color w:val="auto"/>
                <w:sz w:val="24"/>
              </w:rPr>
            </w:pPr>
          </w:p>
        </w:tc>
        <w:tc>
          <w:tcPr>
            <w:tcW w:w="900" w:type="dxa"/>
            <w:vAlign w:val="top"/>
          </w:tcPr>
          <w:p>
            <w:pPr>
              <w:pStyle w:val="13"/>
              <w:rPr>
                <w:rFonts w:hint="eastAsia"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828" w:type="dxa"/>
            <w:vAlign w:val="top"/>
          </w:tcPr>
          <w:p>
            <w:pPr>
              <w:pStyle w:val="13"/>
              <w:rPr>
                <w:rFonts w:hint="eastAsia" w:hAnsi="宋体"/>
                <w:color w:val="auto"/>
                <w:sz w:val="24"/>
              </w:rPr>
            </w:pPr>
          </w:p>
        </w:tc>
        <w:tc>
          <w:tcPr>
            <w:tcW w:w="1260" w:type="dxa"/>
            <w:vAlign w:val="top"/>
          </w:tcPr>
          <w:p>
            <w:pPr>
              <w:pStyle w:val="13"/>
              <w:rPr>
                <w:rFonts w:hint="eastAsia" w:hAnsi="宋体"/>
                <w:color w:val="auto"/>
                <w:sz w:val="24"/>
              </w:rPr>
            </w:pPr>
          </w:p>
        </w:tc>
        <w:tc>
          <w:tcPr>
            <w:tcW w:w="1278" w:type="dxa"/>
            <w:vAlign w:val="top"/>
          </w:tcPr>
          <w:p>
            <w:pPr>
              <w:pStyle w:val="13"/>
              <w:rPr>
                <w:rFonts w:hint="eastAsia" w:hAnsi="宋体"/>
                <w:color w:val="auto"/>
                <w:sz w:val="24"/>
              </w:rPr>
            </w:pPr>
          </w:p>
        </w:tc>
        <w:tc>
          <w:tcPr>
            <w:tcW w:w="736" w:type="dxa"/>
            <w:vAlign w:val="top"/>
          </w:tcPr>
          <w:p>
            <w:pPr>
              <w:pStyle w:val="13"/>
              <w:rPr>
                <w:rFonts w:hint="eastAsia" w:hAnsi="宋体"/>
                <w:color w:val="auto"/>
                <w:sz w:val="24"/>
              </w:rPr>
            </w:pPr>
          </w:p>
        </w:tc>
        <w:tc>
          <w:tcPr>
            <w:tcW w:w="1296" w:type="dxa"/>
            <w:vAlign w:val="top"/>
          </w:tcPr>
          <w:p>
            <w:pPr>
              <w:pStyle w:val="13"/>
              <w:rPr>
                <w:rFonts w:hint="eastAsia" w:hAnsi="宋体"/>
                <w:color w:val="auto"/>
                <w:sz w:val="24"/>
              </w:rPr>
            </w:pPr>
          </w:p>
        </w:tc>
        <w:tc>
          <w:tcPr>
            <w:tcW w:w="1377" w:type="dxa"/>
            <w:vAlign w:val="top"/>
          </w:tcPr>
          <w:p>
            <w:pPr>
              <w:pStyle w:val="13"/>
              <w:rPr>
                <w:rFonts w:hint="eastAsia" w:hAnsi="宋体"/>
                <w:color w:val="auto"/>
                <w:sz w:val="24"/>
              </w:rPr>
            </w:pPr>
          </w:p>
        </w:tc>
        <w:tc>
          <w:tcPr>
            <w:tcW w:w="1073" w:type="dxa"/>
            <w:vAlign w:val="top"/>
          </w:tcPr>
          <w:p>
            <w:pPr>
              <w:pStyle w:val="13"/>
              <w:rPr>
                <w:rFonts w:hint="eastAsia" w:hAnsi="宋体"/>
                <w:color w:val="auto"/>
                <w:sz w:val="24"/>
              </w:rPr>
            </w:pPr>
          </w:p>
        </w:tc>
        <w:tc>
          <w:tcPr>
            <w:tcW w:w="900" w:type="dxa"/>
            <w:vAlign w:val="top"/>
          </w:tcPr>
          <w:p>
            <w:pPr>
              <w:pStyle w:val="13"/>
              <w:rPr>
                <w:rFonts w:hint="eastAsia"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828" w:type="dxa"/>
            <w:vAlign w:val="top"/>
          </w:tcPr>
          <w:p>
            <w:pPr>
              <w:pStyle w:val="13"/>
              <w:rPr>
                <w:rFonts w:hint="eastAsia" w:hAnsi="宋体"/>
                <w:color w:val="auto"/>
                <w:sz w:val="24"/>
              </w:rPr>
            </w:pPr>
          </w:p>
        </w:tc>
        <w:tc>
          <w:tcPr>
            <w:tcW w:w="1260" w:type="dxa"/>
            <w:vAlign w:val="top"/>
          </w:tcPr>
          <w:p>
            <w:pPr>
              <w:pStyle w:val="13"/>
              <w:rPr>
                <w:rFonts w:hint="eastAsia" w:hAnsi="宋体"/>
                <w:color w:val="auto"/>
                <w:sz w:val="24"/>
              </w:rPr>
            </w:pPr>
          </w:p>
        </w:tc>
        <w:tc>
          <w:tcPr>
            <w:tcW w:w="1278" w:type="dxa"/>
            <w:vAlign w:val="top"/>
          </w:tcPr>
          <w:p>
            <w:pPr>
              <w:pStyle w:val="13"/>
              <w:rPr>
                <w:rFonts w:hint="eastAsia" w:hAnsi="宋体"/>
                <w:color w:val="auto"/>
                <w:sz w:val="24"/>
              </w:rPr>
            </w:pPr>
          </w:p>
        </w:tc>
        <w:tc>
          <w:tcPr>
            <w:tcW w:w="736" w:type="dxa"/>
            <w:vAlign w:val="top"/>
          </w:tcPr>
          <w:p>
            <w:pPr>
              <w:pStyle w:val="13"/>
              <w:rPr>
                <w:rFonts w:hint="eastAsia" w:hAnsi="宋体"/>
                <w:color w:val="auto"/>
                <w:sz w:val="24"/>
              </w:rPr>
            </w:pPr>
          </w:p>
        </w:tc>
        <w:tc>
          <w:tcPr>
            <w:tcW w:w="1296" w:type="dxa"/>
            <w:vAlign w:val="top"/>
          </w:tcPr>
          <w:p>
            <w:pPr>
              <w:pStyle w:val="13"/>
              <w:rPr>
                <w:rFonts w:hint="eastAsia" w:hAnsi="宋体"/>
                <w:color w:val="auto"/>
                <w:sz w:val="24"/>
              </w:rPr>
            </w:pPr>
          </w:p>
        </w:tc>
        <w:tc>
          <w:tcPr>
            <w:tcW w:w="1377" w:type="dxa"/>
            <w:vAlign w:val="top"/>
          </w:tcPr>
          <w:p>
            <w:pPr>
              <w:pStyle w:val="13"/>
              <w:rPr>
                <w:rFonts w:hint="eastAsia" w:hAnsi="宋体"/>
                <w:color w:val="auto"/>
                <w:sz w:val="24"/>
              </w:rPr>
            </w:pPr>
          </w:p>
        </w:tc>
        <w:tc>
          <w:tcPr>
            <w:tcW w:w="1073" w:type="dxa"/>
            <w:vAlign w:val="top"/>
          </w:tcPr>
          <w:p>
            <w:pPr>
              <w:pStyle w:val="13"/>
              <w:rPr>
                <w:rFonts w:hint="eastAsia" w:hAnsi="宋体"/>
                <w:color w:val="auto"/>
                <w:sz w:val="24"/>
              </w:rPr>
            </w:pPr>
          </w:p>
        </w:tc>
        <w:tc>
          <w:tcPr>
            <w:tcW w:w="900" w:type="dxa"/>
            <w:vAlign w:val="top"/>
          </w:tcPr>
          <w:p>
            <w:pPr>
              <w:pStyle w:val="13"/>
              <w:rPr>
                <w:rFonts w:hint="eastAsia" w:hAnsi="宋体"/>
                <w:color w:val="auto"/>
                <w:sz w:val="24"/>
              </w:rPr>
            </w:pPr>
          </w:p>
        </w:tc>
      </w:tr>
    </w:tbl>
    <w:p>
      <w:pPr>
        <w:rPr>
          <w:rFonts w:ascii="宋体" w:hAnsi="宋体"/>
          <w:b/>
          <w:color w:val="auto"/>
          <w:sz w:val="24"/>
          <w:szCs w:val="24"/>
        </w:rPr>
      </w:pPr>
      <w:r>
        <w:rPr>
          <w:rFonts w:hint="eastAsia" w:ascii="宋体" w:hAnsi="宋体"/>
          <w:b/>
          <w:color w:val="auto"/>
          <w:sz w:val="24"/>
          <w:szCs w:val="24"/>
        </w:rPr>
        <w:t>说明：</w:t>
      </w:r>
    </w:p>
    <w:p>
      <w:pPr>
        <w:rPr>
          <w:rFonts w:ascii="宋体" w:hAnsi="宋体"/>
          <w:b/>
          <w:color w:val="auto"/>
          <w:sz w:val="24"/>
          <w:szCs w:val="24"/>
        </w:rPr>
      </w:pPr>
      <w:r>
        <w:rPr>
          <w:rFonts w:hint="eastAsia" w:ascii="宋体" w:hAnsi="宋体"/>
          <w:b/>
          <w:color w:val="auto"/>
          <w:sz w:val="24"/>
          <w:szCs w:val="24"/>
        </w:rPr>
        <w:t>1、货物说明及技术偏离表中所填写的货物和服务名称、数量须与第</w:t>
      </w:r>
      <w:r>
        <w:rPr>
          <w:rFonts w:hint="eastAsia" w:ascii="宋体" w:hAnsi="宋体"/>
          <w:b/>
          <w:color w:val="auto"/>
          <w:sz w:val="24"/>
          <w:szCs w:val="24"/>
          <w:lang w:eastAsia="zh-CN"/>
        </w:rPr>
        <w:t>四</w:t>
      </w:r>
      <w:r>
        <w:rPr>
          <w:rFonts w:hint="eastAsia" w:ascii="宋体" w:hAnsi="宋体"/>
          <w:b/>
          <w:color w:val="auto"/>
          <w:sz w:val="24"/>
          <w:szCs w:val="24"/>
        </w:rPr>
        <w:t>部分采购清单列明的项目、数量一致。</w:t>
      </w:r>
    </w:p>
    <w:p>
      <w:pPr>
        <w:pStyle w:val="13"/>
        <w:rPr>
          <w:rFonts w:hint="eastAsia" w:ascii="宋体" w:hAnsi="宋体"/>
          <w:b/>
          <w:color w:val="auto"/>
          <w:sz w:val="24"/>
          <w:szCs w:val="24"/>
        </w:rPr>
      </w:pPr>
      <w:r>
        <w:rPr>
          <w:rFonts w:hint="eastAsia" w:ascii="宋体" w:hAnsi="宋体"/>
          <w:b/>
          <w:color w:val="auto"/>
          <w:sz w:val="24"/>
          <w:szCs w:val="24"/>
        </w:rPr>
        <w:t>2、投标人须如实填写其投标产品的参数和偏离程度，如发现提供不实情况的，造成的一切后果由投标人承担。</w:t>
      </w:r>
    </w:p>
    <w:p>
      <w:pPr>
        <w:pStyle w:val="13"/>
        <w:rPr>
          <w:rFonts w:hint="eastAsia" w:ascii="宋体" w:hAnsi="宋体"/>
          <w:b/>
          <w:color w:val="auto"/>
          <w:sz w:val="24"/>
          <w:szCs w:val="24"/>
        </w:rPr>
      </w:pPr>
    </w:p>
    <w:p>
      <w:pPr>
        <w:pStyle w:val="13"/>
        <w:spacing w:line="360" w:lineRule="auto"/>
        <w:rPr>
          <w:rFonts w:hint="eastAsia" w:hAnsi="宋体"/>
          <w:color w:val="auto"/>
          <w:sz w:val="24"/>
        </w:rPr>
      </w:pPr>
      <w:r>
        <w:rPr>
          <w:rFonts w:hint="eastAsia" w:hAnsi="宋体"/>
          <w:color w:val="auto"/>
          <w:sz w:val="24"/>
          <w:szCs w:val="24"/>
        </w:rPr>
        <w:t>投标人公章（电子签章）：</w:t>
      </w:r>
      <w:r>
        <w:rPr>
          <w:rFonts w:hint="eastAsia" w:hAnsi="宋体"/>
          <w:color w:val="auto"/>
          <w:sz w:val="24"/>
        </w:rPr>
        <w:t xml:space="preserve"> </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pPr>
        <w:pStyle w:val="13"/>
        <w:tabs>
          <w:tab w:val="left" w:pos="5580"/>
        </w:tabs>
        <w:spacing w:before="120" w:line="22" w:lineRule="atLeast"/>
        <w:rPr>
          <w:rFonts w:hint="eastAsia" w:hAnsi="宋体"/>
          <w:color w:val="auto"/>
          <w:sz w:val="24"/>
          <w:u w:val="single"/>
        </w:rPr>
      </w:pPr>
      <w:r>
        <w:rPr>
          <w:rFonts w:hint="eastAsia" w:hAnsi="宋体"/>
          <w:color w:val="auto"/>
          <w:sz w:val="24"/>
          <w:szCs w:val="24"/>
        </w:rPr>
        <w:t>日    期：</w:t>
      </w:r>
      <w:r>
        <w:rPr>
          <w:rFonts w:hint="eastAsia" w:hAnsi="宋体"/>
          <w:color w:val="auto"/>
          <w:sz w:val="24"/>
          <w:szCs w:val="24"/>
          <w:u w:val="single"/>
        </w:rPr>
        <w:t xml:space="preserve">                         </w:t>
      </w:r>
    </w:p>
    <w:p>
      <w:pPr>
        <w:pStyle w:val="4"/>
        <w:numPr>
          <w:ilvl w:val="-1"/>
          <w:numId w:val="0"/>
        </w:numPr>
        <w:rPr>
          <w:rFonts w:hint="eastAsia" w:ascii="宋体" w:hAnsi="宋体" w:eastAsia="宋体"/>
          <w:color w:val="auto"/>
          <w:sz w:val="24"/>
        </w:rPr>
      </w:pPr>
      <w:r>
        <w:rPr>
          <w:rFonts w:hint="eastAsia" w:ascii="宋体" w:hAnsi="宋体" w:eastAsia="宋体"/>
          <w:color w:val="auto"/>
          <w:sz w:val="24"/>
        </w:rPr>
        <w:t>表5-2：</w:t>
      </w:r>
      <w:r>
        <w:rPr>
          <w:rFonts w:hint="eastAsia" w:ascii="宋体" w:hAnsi="宋体" w:eastAsia="宋体"/>
          <w:color w:val="auto"/>
          <w:sz w:val="24"/>
          <w:lang w:eastAsia="zh-CN"/>
        </w:rPr>
        <w:t>合同</w:t>
      </w:r>
      <w:r>
        <w:rPr>
          <w:rFonts w:hint="eastAsia" w:ascii="宋体" w:hAnsi="宋体" w:eastAsia="宋体"/>
          <w:color w:val="auto"/>
          <w:sz w:val="24"/>
        </w:rPr>
        <w:t>条款偏离表</w:t>
      </w:r>
    </w:p>
    <w:p>
      <w:pPr>
        <w:spacing w:before="117" w:line="220" w:lineRule="auto"/>
        <w:ind w:left="3400"/>
        <w:outlineLvl w:val="2"/>
        <w:rPr>
          <w:rFonts w:ascii="宋体" w:hAnsi="宋体" w:eastAsia="宋体" w:cs="宋体"/>
          <w:sz w:val="36"/>
          <w:szCs w:val="36"/>
        </w:rPr>
      </w:pPr>
      <w:r>
        <w:rPr>
          <w:rFonts w:ascii="宋体" w:hAnsi="宋体" w:eastAsia="宋体" w:cs="宋体"/>
          <w:spacing w:val="-1"/>
          <w:sz w:val="24"/>
          <w:szCs w:val="24"/>
          <w14:textOutline w14:w="6537" w14:cap="flat" w14:cmpd="sng">
            <w14:solidFill>
              <w14:srgbClr w14:val="000000"/>
            </w14:solidFill>
            <w14:prstDash w14:val="solid"/>
            <w14:miter w14:val="0"/>
          </w14:textOutline>
        </w:rPr>
        <w:t>合同条款偏离表</w:t>
      </w:r>
    </w:p>
    <w:p>
      <w:pPr>
        <w:spacing w:line="297" w:lineRule="auto"/>
        <w:rPr>
          <w:rFonts w:ascii="Arial"/>
          <w:sz w:val="21"/>
        </w:rPr>
      </w:pPr>
    </w:p>
    <w:p>
      <w:pPr>
        <w:spacing w:before="78" w:line="220" w:lineRule="auto"/>
        <w:ind w:left="486"/>
        <w:rPr>
          <w:rFonts w:ascii="宋体" w:hAnsi="宋体" w:eastAsia="宋体" w:cs="宋体"/>
          <w:spacing w:val="-13"/>
          <w:sz w:val="24"/>
          <w:szCs w:val="24"/>
        </w:rPr>
      </w:pPr>
      <w:r>
        <w:rPr>
          <w:rFonts w:ascii="宋体" w:hAnsi="宋体" w:eastAsia="宋体" w:cs="宋体"/>
          <w:spacing w:val="-13"/>
          <w:sz w:val="24"/>
          <w:szCs w:val="24"/>
        </w:rPr>
        <w:t>项目编号：</w:t>
      </w:r>
    </w:p>
    <w:p>
      <w:pPr>
        <w:spacing w:before="78" w:line="220" w:lineRule="auto"/>
        <w:ind w:left="486"/>
        <w:rPr>
          <w:rFonts w:ascii="宋体" w:hAnsi="宋体" w:eastAsia="宋体" w:cs="宋体"/>
          <w:sz w:val="24"/>
          <w:szCs w:val="24"/>
        </w:rPr>
      </w:pPr>
      <w:r>
        <w:rPr>
          <w:rFonts w:ascii="宋体" w:hAnsi="宋体" w:eastAsia="宋体" w:cs="宋体"/>
          <w:spacing w:val="-13"/>
          <w:sz w:val="24"/>
          <w:szCs w:val="24"/>
        </w:rPr>
        <w:t>项目名</w:t>
      </w:r>
      <w:r>
        <w:rPr>
          <w:rFonts w:ascii="宋体" w:hAnsi="宋体" w:eastAsia="宋体" w:cs="宋体"/>
          <w:spacing w:val="-14"/>
          <w:sz w:val="24"/>
          <w:szCs w:val="24"/>
        </w:rPr>
        <w:t xml:space="preserve">称： </w:t>
      </w:r>
    </w:p>
    <w:p>
      <w:pPr>
        <w:spacing w:line="143" w:lineRule="exact"/>
      </w:pPr>
    </w:p>
    <w:tbl>
      <w:tblPr>
        <w:tblStyle w:val="83"/>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771"/>
        <w:gridCol w:w="1675"/>
        <w:gridCol w:w="1675"/>
        <w:gridCol w:w="1876"/>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8" w:type="dxa"/>
            <w:vAlign w:val="top"/>
          </w:tcPr>
          <w:p>
            <w:pPr>
              <w:pStyle w:val="82"/>
              <w:spacing w:line="270" w:lineRule="auto"/>
            </w:pPr>
          </w:p>
          <w:p>
            <w:pPr>
              <w:spacing w:before="78" w:line="222" w:lineRule="auto"/>
              <w:ind w:left="344"/>
              <w:rPr>
                <w:rFonts w:ascii="宋体" w:hAnsi="宋体" w:eastAsia="宋体" w:cs="宋体"/>
                <w:sz w:val="24"/>
                <w:szCs w:val="24"/>
              </w:rPr>
            </w:pPr>
            <w:r>
              <w:rPr>
                <w:rFonts w:ascii="宋体" w:hAnsi="宋体" w:eastAsia="宋体" w:cs="宋体"/>
                <w:spacing w:val="-3"/>
                <w:sz w:val="24"/>
                <w:szCs w:val="24"/>
              </w:rPr>
              <w:t>序号</w:t>
            </w:r>
          </w:p>
        </w:tc>
        <w:tc>
          <w:tcPr>
            <w:tcW w:w="1771" w:type="dxa"/>
            <w:vAlign w:val="top"/>
          </w:tcPr>
          <w:p>
            <w:pPr>
              <w:spacing w:before="194" w:line="220" w:lineRule="auto"/>
              <w:ind w:left="172"/>
              <w:rPr>
                <w:rFonts w:ascii="宋体" w:hAnsi="宋体" w:eastAsia="宋体" w:cs="宋体"/>
                <w:sz w:val="24"/>
                <w:szCs w:val="24"/>
              </w:rPr>
            </w:pPr>
            <w:r>
              <w:rPr>
                <w:rFonts w:ascii="宋体" w:hAnsi="宋体" w:eastAsia="宋体" w:cs="宋体"/>
                <w:spacing w:val="-2"/>
                <w:sz w:val="24"/>
                <w:szCs w:val="24"/>
              </w:rPr>
              <w:t>招标文件条目</w:t>
            </w:r>
          </w:p>
          <w:p>
            <w:pPr>
              <w:spacing w:before="25" w:line="222" w:lineRule="auto"/>
              <w:ind w:left="297"/>
              <w:rPr>
                <w:rFonts w:ascii="宋体" w:hAnsi="宋体" w:eastAsia="宋体" w:cs="宋体"/>
                <w:sz w:val="24"/>
                <w:szCs w:val="24"/>
              </w:rPr>
            </w:pPr>
            <w:r>
              <w:rPr>
                <w:rFonts w:ascii="宋体" w:hAnsi="宋体" w:eastAsia="宋体" w:cs="宋体"/>
                <w:spacing w:val="-5"/>
                <w:sz w:val="24"/>
                <w:szCs w:val="24"/>
              </w:rPr>
              <w:t>号（页码）</w:t>
            </w:r>
          </w:p>
        </w:tc>
        <w:tc>
          <w:tcPr>
            <w:tcW w:w="1675" w:type="dxa"/>
            <w:vAlign w:val="top"/>
          </w:tcPr>
          <w:p>
            <w:pPr>
              <w:pStyle w:val="82"/>
              <w:spacing w:line="270" w:lineRule="auto"/>
            </w:pPr>
          </w:p>
          <w:p>
            <w:pPr>
              <w:spacing w:before="78" w:line="220" w:lineRule="auto"/>
              <w:ind w:left="124"/>
              <w:rPr>
                <w:rFonts w:ascii="宋体" w:hAnsi="宋体" w:eastAsia="宋体" w:cs="宋体"/>
                <w:sz w:val="24"/>
                <w:szCs w:val="24"/>
              </w:rPr>
            </w:pPr>
            <w:r>
              <w:rPr>
                <w:rFonts w:ascii="宋体" w:hAnsi="宋体" w:eastAsia="宋体" w:cs="宋体"/>
                <w:spacing w:val="-2"/>
                <w:sz w:val="24"/>
                <w:szCs w:val="24"/>
              </w:rPr>
              <w:t>招标文件要求</w:t>
            </w:r>
          </w:p>
        </w:tc>
        <w:tc>
          <w:tcPr>
            <w:tcW w:w="1675" w:type="dxa"/>
            <w:vAlign w:val="top"/>
          </w:tcPr>
          <w:p>
            <w:pPr>
              <w:pStyle w:val="82"/>
              <w:spacing w:line="270" w:lineRule="auto"/>
            </w:pPr>
          </w:p>
          <w:p>
            <w:pPr>
              <w:spacing w:before="78" w:line="220" w:lineRule="auto"/>
              <w:ind w:left="127"/>
              <w:rPr>
                <w:rFonts w:ascii="宋体" w:hAnsi="宋体" w:eastAsia="宋体" w:cs="宋体"/>
                <w:sz w:val="24"/>
                <w:szCs w:val="24"/>
              </w:rPr>
            </w:pPr>
            <w:r>
              <w:rPr>
                <w:rFonts w:ascii="宋体" w:hAnsi="宋体" w:eastAsia="宋体" w:cs="宋体"/>
                <w:spacing w:val="-2"/>
                <w:sz w:val="24"/>
                <w:szCs w:val="24"/>
              </w:rPr>
              <w:t>投标文件内容</w:t>
            </w:r>
          </w:p>
        </w:tc>
        <w:tc>
          <w:tcPr>
            <w:tcW w:w="1876" w:type="dxa"/>
            <w:vAlign w:val="top"/>
          </w:tcPr>
          <w:p>
            <w:pPr>
              <w:pStyle w:val="82"/>
              <w:spacing w:line="270" w:lineRule="auto"/>
            </w:pPr>
          </w:p>
          <w:p>
            <w:pPr>
              <w:spacing w:before="78" w:line="220" w:lineRule="auto"/>
              <w:ind w:left="465"/>
              <w:rPr>
                <w:rFonts w:ascii="宋体" w:hAnsi="宋体" w:eastAsia="宋体" w:cs="宋体"/>
                <w:sz w:val="24"/>
                <w:szCs w:val="24"/>
              </w:rPr>
            </w:pPr>
            <w:r>
              <w:rPr>
                <w:rFonts w:ascii="宋体" w:hAnsi="宋体" w:eastAsia="宋体" w:cs="宋体"/>
                <w:spacing w:val="-2"/>
                <w:sz w:val="24"/>
                <w:szCs w:val="24"/>
              </w:rPr>
              <w:t>偏离情况</w:t>
            </w:r>
          </w:p>
        </w:tc>
        <w:tc>
          <w:tcPr>
            <w:tcW w:w="1138" w:type="dxa"/>
            <w:vAlign w:val="top"/>
          </w:tcPr>
          <w:p>
            <w:pPr>
              <w:pStyle w:val="82"/>
              <w:spacing w:line="270" w:lineRule="auto"/>
            </w:pPr>
          </w:p>
          <w:p>
            <w:pPr>
              <w:spacing w:before="78" w:line="220" w:lineRule="auto"/>
              <w:ind w:left="336"/>
              <w:rPr>
                <w:rFonts w:ascii="宋体" w:hAnsi="宋体" w:eastAsia="宋体" w:cs="宋体"/>
                <w:sz w:val="24"/>
                <w:szCs w:val="24"/>
              </w:rPr>
            </w:pPr>
            <w:r>
              <w:rPr>
                <w:rFonts w:ascii="宋体" w:hAnsi="宋体" w:eastAsia="宋体" w:cs="宋体"/>
                <w:spacing w:val="-4"/>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0" w:hRule="atLeast"/>
        </w:trPr>
        <w:tc>
          <w:tcPr>
            <w:tcW w:w="9293" w:type="dxa"/>
            <w:gridSpan w:val="6"/>
            <w:vAlign w:val="top"/>
          </w:tcPr>
          <w:p>
            <w:pPr>
              <w:spacing w:before="38" w:line="219" w:lineRule="auto"/>
              <w:ind w:left="116"/>
              <w:rPr>
                <w:rFonts w:ascii="宋体" w:hAnsi="宋体" w:eastAsia="宋体" w:cs="宋体"/>
                <w:sz w:val="24"/>
                <w:szCs w:val="24"/>
              </w:rPr>
            </w:pPr>
            <w:r>
              <w:rPr>
                <w:rFonts w:ascii="宋体" w:hAnsi="宋体" w:eastAsia="宋体" w:cs="宋体"/>
                <w:sz w:val="24"/>
                <w:szCs w:val="24"/>
                <w14:textOutline w14:w="4359" w14:cap="flat" w14:cmpd="sng">
                  <w14:solidFill>
                    <w14:srgbClr w14:val="000000"/>
                  </w14:solidFill>
                  <w14:prstDash w14:val="solid"/>
                  <w14:miter w14:val="0"/>
                </w14:textOutline>
              </w:rPr>
              <w:t>对本项目合同条款的偏离情况</w:t>
            </w:r>
            <w:r>
              <w:rPr>
                <w:rFonts w:ascii="宋体" w:hAnsi="宋体" w:eastAsia="宋体" w:cs="宋体"/>
                <w:sz w:val="24"/>
                <w:szCs w:val="24"/>
              </w:rPr>
              <w:t>（应进行选择，未选择</w:t>
            </w:r>
            <w:r>
              <w:rPr>
                <w:rFonts w:ascii="宋体" w:hAnsi="宋体" w:eastAsia="宋体" w:cs="宋体"/>
                <w:sz w:val="24"/>
                <w:szCs w:val="24"/>
                <w14:textOutline w14:w="4359" w14:cap="flat" w14:cmpd="sng">
                  <w14:solidFill>
                    <w14:srgbClr w14:val="000000"/>
                  </w14:solidFill>
                  <w14:prstDash w14:val="solid"/>
                  <w14:miter w14:val="0"/>
                </w14:textOutline>
              </w:rPr>
              <w:t>投标无效</w:t>
            </w:r>
            <w:r>
              <w:rPr>
                <w:rFonts w:ascii="宋体" w:hAnsi="宋体" w:eastAsia="宋体" w:cs="宋体"/>
                <w:spacing w:val="-63"/>
                <w:w w:val="98"/>
                <w:sz w:val="24"/>
                <w:szCs w:val="24"/>
              </w:rPr>
              <w:t>）：</w:t>
            </w:r>
          </w:p>
          <w:p>
            <w:pPr>
              <w:spacing w:before="27" w:line="197" w:lineRule="auto"/>
              <w:ind w:left="118" w:right="115" w:firstLine="11"/>
              <w:rPr>
                <w:rFonts w:ascii="宋体" w:hAnsi="宋体" w:eastAsia="宋体" w:cs="宋体"/>
                <w:sz w:val="24"/>
                <w:szCs w:val="24"/>
              </w:rPr>
            </w:pPr>
            <w:r>
              <w:rPr>
                <w:rFonts w:ascii="微软雅黑" w:hAnsi="微软雅黑" w:eastAsia="微软雅黑" w:cs="微软雅黑"/>
                <w:b/>
                <w:bCs/>
                <w:spacing w:val="-16"/>
                <w:sz w:val="24"/>
                <w:szCs w:val="24"/>
              </w:rPr>
              <w:t>口</w:t>
            </w:r>
            <w:r>
              <w:rPr>
                <w:rFonts w:ascii="宋体" w:hAnsi="宋体" w:eastAsia="宋体" w:cs="宋体"/>
                <w:spacing w:val="-16"/>
                <w:sz w:val="24"/>
                <w:szCs w:val="24"/>
                <w14:textOutline w14:w="4359" w14:cap="flat" w14:cmpd="sng">
                  <w14:solidFill>
                    <w14:srgbClr w14:val="000000"/>
                  </w14:solidFill>
                  <w14:prstDash w14:val="solid"/>
                  <w14:miter w14:val="0"/>
                </w14:textOutline>
              </w:rPr>
              <w:t>无偏离</w:t>
            </w:r>
            <w:r>
              <w:rPr>
                <w:rFonts w:ascii="宋体" w:hAnsi="宋体" w:eastAsia="宋体" w:cs="宋体"/>
                <w:spacing w:val="-16"/>
                <w:sz w:val="24"/>
                <w:szCs w:val="24"/>
              </w:rPr>
              <w:t>（如无偏离，仅选择无偏离即可；无偏离即为对合同条款中的所有要求，均视</w:t>
            </w:r>
            <w:r>
              <w:rPr>
                <w:rFonts w:ascii="宋体" w:hAnsi="宋体" w:eastAsia="宋体" w:cs="宋体"/>
                <w:spacing w:val="-11"/>
                <w:sz w:val="24"/>
                <w:szCs w:val="24"/>
              </w:rPr>
              <w:t>作供应商已对之理解和响应。）</w:t>
            </w:r>
          </w:p>
          <w:p>
            <w:pPr>
              <w:spacing w:before="26" w:line="192" w:lineRule="auto"/>
              <w:ind w:left="137" w:right="133" w:hanging="7"/>
              <w:rPr>
                <w:rFonts w:ascii="宋体" w:hAnsi="宋体" w:eastAsia="宋体" w:cs="宋体"/>
                <w:sz w:val="24"/>
                <w:szCs w:val="24"/>
              </w:rPr>
            </w:pPr>
            <w:r>
              <w:rPr>
                <w:rFonts w:ascii="微软雅黑" w:hAnsi="微软雅黑" w:eastAsia="微软雅黑" w:cs="微软雅黑"/>
                <w:b/>
                <w:bCs/>
                <w:spacing w:val="-10"/>
                <w:sz w:val="24"/>
                <w:szCs w:val="24"/>
              </w:rPr>
              <w:t>口</w:t>
            </w:r>
            <w:r>
              <w:rPr>
                <w:rFonts w:ascii="宋体" w:hAnsi="宋体" w:eastAsia="宋体" w:cs="宋体"/>
                <w:spacing w:val="-10"/>
                <w:sz w:val="24"/>
                <w:szCs w:val="24"/>
                <w14:textOutline w14:w="4359" w14:cap="flat" w14:cmpd="sng">
                  <w14:solidFill>
                    <w14:srgbClr w14:val="000000"/>
                  </w14:solidFill>
                  <w14:prstDash w14:val="solid"/>
                  <w14:miter w14:val="0"/>
                </w14:textOutline>
              </w:rPr>
              <w:t>有偏离</w:t>
            </w:r>
            <w:r>
              <w:rPr>
                <w:rFonts w:ascii="宋体" w:hAnsi="宋体" w:eastAsia="宋体" w:cs="宋体"/>
                <w:spacing w:val="-10"/>
                <w:sz w:val="24"/>
                <w:szCs w:val="24"/>
              </w:rPr>
              <w:t>（如有偏离，则应在本表中对偏离项逐一列明，否则</w:t>
            </w:r>
            <w:r>
              <w:rPr>
                <w:rFonts w:ascii="宋体" w:hAnsi="宋体" w:eastAsia="宋体" w:cs="宋体"/>
                <w:spacing w:val="-10"/>
                <w:sz w:val="24"/>
                <w:szCs w:val="24"/>
                <w14:textOutline w14:w="4359" w14:cap="flat" w14:cmpd="sng">
                  <w14:solidFill>
                    <w14:srgbClr w14:val="000000"/>
                  </w14:solidFill>
                  <w14:prstDash w14:val="solid"/>
                  <w14:miter w14:val="0"/>
                </w14:textOutline>
              </w:rPr>
              <w:t>投标无效</w:t>
            </w:r>
            <w:r>
              <w:rPr>
                <w:rFonts w:ascii="宋体" w:hAnsi="宋体" w:eastAsia="宋体" w:cs="宋体"/>
                <w:spacing w:val="-10"/>
                <w:sz w:val="24"/>
                <w:szCs w:val="24"/>
              </w:rPr>
              <w:t>；对合同条款中</w:t>
            </w:r>
            <w:r>
              <w:rPr>
                <w:rFonts w:ascii="宋体" w:hAnsi="宋体" w:eastAsia="宋体" w:cs="宋体"/>
                <w:spacing w:val="-5"/>
                <w:sz w:val="24"/>
                <w:szCs w:val="24"/>
              </w:rPr>
              <w:t>的所有要求，除本表列明的偏离外，均视作供应商已对之理</w:t>
            </w:r>
            <w:r>
              <w:rPr>
                <w:rFonts w:ascii="宋体" w:hAnsi="宋体" w:eastAsia="宋体" w:cs="宋体"/>
                <w:spacing w:val="-6"/>
                <w:sz w:val="24"/>
                <w:szCs w:val="24"/>
              </w:rPr>
              <w:t>解和响应。）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8" w:type="dxa"/>
            <w:vAlign w:val="top"/>
          </w:tcPr>
          <w:p>
            <w:pPr>
              <w:pStyle w:val="82"/>
            </w:pPr>
          </w:p>
        </w:tc>
        <w:tc>
          <w:tcPr>
            <w:tcW w:w="1771" w:type="dxa"/>
            <w:vAlign w:val="top"/>
          </w:tcPr>
          <w:p>
            <w:pPr>
              <w:pStyle w:val="82"/>
            </w:pPr>
          </w:p>
        </w:tc>
        <w:tc>
          <w:tcPr>
            <w:tcW w:w="1675" w:type="dxa"/>
            <w:vAlign w:val="top"/>
          </w:tcPr>
          <w:p>
            <w:pPr>
              <w:pStyle w:val="82"/>
            </w:pPr>
          </w:p>
        </w:tc>
        <w:tc>
          <w:tcPr>
            <w:tcW w:w="1675" w:type="dxa"/>
            <w:vAlign w:val="top"/>
          </w:tcPr>
          <w:p>
            <w:pPr>
              <w:pStyle w:val="82"/>
            </w:pPr>
          </w:p>
        </w:tc>
        <w:tc>
          <w:tcPr>
            <w:tcW w:w="1876" w:type="dxa"/>
            <w:vAlign w:val="top"/>
          </w:tcPr>
          <w:p>
            <w:pPr>
              <w:pStyle w:val="82"/>
            </w:pPr>
          </w:p>
        </w:tc>
        <w:tc>
          <w:tcPr>
            <w:tcW w:w="1138" w:type="dxa"/>
            <w:vAlign w:val="top"/>
          </w:tcPr>
          <w:p>
            <w:pPr>
              <w:pStyle w:val="8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8" w:type="dxa"/>
            <w:vAlign w:val="top"/>
          </w:tcPr>
          <w:p>
            <w:pPr>
              <w:pStyle w:val="82"/>
            </w:pPr>
          </w:p>
        </w:tc>
        <w:tc>
          <w:tcPr>
            <w:tcW w:w="1771" w:type="dxa"/>
            <w:vAlign w:val="top"/>
          </w:tcPr>
          <w:p>
            <w:pPr>
              <w:pStyle w:val="82"/>
            </w:pPr>
          </w:p>
        </w:tc>
        <w:tc>
          <w:tcPr>
            <w:tcW w:w="1675" w:type="dxa"/>
            <w:vAlign w:val="top"/>
          </w:tcPr>
          <w:p>
            <w:pPr>
              <w:pStyle w:val="82"/>
            </w:pPr>
          </w:p>
        </w:tc>
        <w:tc>
          <w:tcPr>
            <w:tcW w:w="1675" w:type="dxa"/>
            <w:vAlign w:val="top"/>
          </w:tcPr>
          <w:p>
            <w:pPr>
              <w:pStyle w:val="82"/>
            </w:pPr>
          </w:p>
        </w:tc>
        <w:tc>
          <w:tcPr>
            <w:tcW w:w="1876" w:type="dxa"/>
            <w:vAlign w:val="top"/>
          </w:tcPr>
          <w:p>
            <w:pPr>
              <w:pStyle w:val="82"/>
            </w:pPr>
          </w:p>
        </w:tc>
        <w:tc>
          <w:tcPr>
            <w:tcW w:w="1138" w:type="dxa"/>
            <w:vAlign w:val="top"/>
          </w:tcPr>
          <w:p>
            <w:pPr>
              <w:pStyle w:val="8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4" w:hRule="atLeast"/>
        </w:trPr>
        <w:tc>
          <w:tcPr>
            <w:tcW w:w="1158" w:type="dxa"/>
            <w:vAlign w:val="top"/>
          </w:tcPr>
          <w:p>
            <w:pPr>
              <w:pStyle w:val="82"/>
            </w:pPr>
          </w:p>
        </w:tc>
        <w:tc>
          <w:tcPr>
            <w:tcW w:w="1771" w:type="dxa"/>
            <w:vAlign w:val="top"/>
          </w:tcPr>
          <w:p>
            <w:pPr>
              <w:pStyle w:val="82"/>
            </w:pPr>
          </w:p>
        </w:tc>
        <w:tc>
          <w:tcPr>
            <w:tcW w:w="1675" w:type="dxa"/>
            <w:vAlign w:val="top"/>
          </w:tcPr>
          <w:p>
            <w:pPr>
              <w:pStyle w:val="82"/>
            </w:pPr>
          </w:p>
        </w:tc>
        <w:tc>
          <w:tcPr>
            <w:tcW w:w="1675" w:type="dxa"/>
            <w:vAlign w:val="top"/>
          </w:tcPr>
          <w:p>
            <w:pPr>
              <w:pStyle w:val="82"/>
            </w:pPr>
          </w:p>
        </w:tc>
        <w:tc>
          <w:tcPr>
            <w:tcW w:w="1876" w:type="dxa"/>
            <w:vAlign w:val="top"/>
          </w:tcPr>
          <w:p>
            <w:pPr>
              <w:pStyle w:val="82"/>
            </w:pPr>
          </w:p>
        </w:tc>
        <w:tc>
          <w:tcPr>
            <w:tcW w:w="1138" w:type="dxa"/>
            <w:vAlign w:val="top"/>
          </w:tcPr>
          <w:p>
            <w:pPr>
              <w:pStyle w:val="8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9" w:hRule="atLeast"/>
        </w:trPr>
        <w:tc>
          <w:tcPr>
            <w:tcW w:w="1158" w:type="dxa"/>
            <w:vAlign w:val="top"/>
          </w:tcPr>
          <w:p>
            <w:pPr>
              <w:pStyle w:val="82"/>
            </w:pPr>
          </w:p>
        </w:tc>
        <w:tc>
          <w:tcPr>
            <w:tcW w:w="1771" w:type="dxa"/>
            <w:vAlign w:val="top"/>
          </w:tcPr>
          <w:p>
            <w:pPr>
              <w:pStyle w:val="82"/>
            </w:pPr>
          </w:p>
        </w:tc>
        <w:tc>
          <w:tcPr>
            <w:tcW w:w="1675" w:type="dxa"/>
            <w:vAlign w:val="top"/>
          </w:tcPr>
          <w:p>
            <w:pPr>
              <w:pStyle w:val="82"/>
            </w:pPr>
          </w:p>
        </w:tc>
        <w:tc>
          <w:tcPr>
            <w:tcW w:w="1675" w:type="dxa"/>
            <w:vAlign w:val="top"/>
          </w:tcPr>
          <w:p>
            <w:pPr>
              <w:pStyle w:val="82"/>
            </w:pPr>
          </w:p>
        </w:tc>
        <w:tc>
          <w:tcPr>
            <w:tcW w:w="1876" w:type="dxa"/>
            <w:vAlign w:val="top"/>
          </w:tcPr>
          <w:p>
            <w:pPr>
              <w:pStyle w:val="82"/>
            </w:pPr>
          </w:p>
        </w:tc>
        <w:tc>
          <w:tcPr>
            <w:tcW w:w="1138" w:type="dxa"/>
            <w:vAlign w:val="top"/>
          </w:tcPr>
          <w:p>
            <w:pPr>
              <w:pStyle w:val="82"/>
            </w:pPr>
          </w:p>
        </w:tc>
      </w:tr>
    </w:tbl>
    <w:p>
      <w:pPr>
        <w:pStyle w:val="13"/>
        <w:spacing w:line="360" w:lineRule="auto"/>
        <w:rPr>
          <w:rFonts w:ascii="宋体" w:hAnsi="宋体" w:eastAsia="宋体" w:cs="宋体"/>
          <w:spacing w:val="4"/>
          <w:sz w:val="24"/>
          <w:szCs w:val="24"/>
        </w:rPr>
      </w:pPr>
      <w:r>
        <w:rPr>
          <w:rFonts w:ascii="宋体" w:hAnsi="宋体" w:eastAsia="宋体" w:cs="宋体"/>
          <w:spacing w:val="4"/>
          <w:sz w:val="24"/>
          <w:szCs w:val="24"/>
        </w:rPr>
        <w:t xml:space="preserve">注： </w:t>
      </w:r>
      <w:r>
        <w:rPr>
          <w:rFonts w:ascii="Arial" w:hAnsi="Arial" w:eastAsia="Arial" w:cs="Arial"/>
          <w:spacing w:val="4"/>
          <w:sz w:val="24"/>
          <w:szCs w:val="24"/>
        </w:rPr>
        <w:t>“</w:t>
      </w:r>
      <w:r>
        <w:rPr>
          <w:rFonts w:ascii="宋体" w:hAnsi="宋体" w:eastAsia="宋体" w:cs="宋体"/>
          <w:spacing w:val="4"/>
          <w:sz w:val="24"/>
          <w:szCs w:val="24"/>
        </w:rPr>
        <w:t>偏离情况</w:t>
      </w:r>
      <w:r>
        <w:rPr>
          <w:rFonts w:ascii="Arial" w:hAnsi="Arial" w:eastAsia="Arial" w:cs="Arial"/>
          <w:spacing w:val="4"/>
          <w:sz w:val="24"/>
          <w:szCs w:val="24"/>
        </w:rPr>
        <w:t>”</w:t>
      </w:r>
      <w:r>
        <w:rPr>
          <w:rFonts w:ascii="宋体" w:hAnsi="宋体" w:eastAsia="宋体" w:cs="宋体"/>
          <w:spacing w:val="4"/>
          <w:sz w:val="24"/>
          <w:szCs w:val="24"/>
        </w:rPr>
        <w:t>列应据实填写</w:t>
      </w:r>
      <w:r>
        <w:rPr>
          <w:rFonts w:ascii="Arial" w:hAnsi="Arial" w:eastAsia="Arial" w:cs="Arial"/>
          <w:spacing w:val="4"/>
          <w:sz w:val="24"/>
          <w:szCs w:val="24"/>
        </w:rPr>
        <w:t>“</w:t>
      </w:r>
      <w:r>
        <w:rPr>
          <w:rFonts w:ascii="宋体" w:hAnsi="宋体" w:eastAsia="宋体" w:cs="宋体"/>
          <w:spacing w:val="4"/>
          <w:sz w:val="24"/>
          <w:szCs w:val="24"/>
        </w:rPr>
        <w:t>正偏离</w:t>
      </w:r>
      <w:r>
        <w:rPr>
          <w:rFonts w:ascii="Arial" w:hAnsi="Arial" w:eastAsia="Arial" w:cs="Arial"/>
          <w:spacing w:val="4"/>
          <w:sz w:val="24"/>
          <w:szCs w:val="24"/>
        </w:rPr>
        <w:t>”</w:t>
      </w:r>
      <w:r>
        <w:rPr>
          <w:rFonts w:ascii="宋体" w:hAnsi="宋体" w:eastAsia="宋体" w:cs="宋体"/>
          <w:spacing w:val="4"/>
          <w:sz w:val="24"/>
          <w:szCs w:val="24"/>
        </w:rPr>
        <w:t>或</w:t>
      </w:r>
      <w:r>
        <w:rPr>
          <w:rFonts w:ascii="Arial" w:hAnsi="Arial" w:eastAsia="Arial" w:cs="Arial"/>
          <w:spacing w:val="4"/>
          <w:sz w:val="24"/>
          <w:szCs w:val="24"/>
        </w:rPr>
        <w:t>“</w:t>
      </w:r>
      <w:r>
        <w:rPr>
          <w:rFonts w:ascii="Arial" w:hAnsi="Arial" w:eastAsia="Arial" w:cs="Arial"/>
          <w:spacing w:val="-42"/>
          <w:sz w:val="24"/>
          <w:szCs w:val="24"/>
        </w:rPr>
        <w:t xml:space="preserve"> </w:t>
      </w:r>
      <w:r>
        <w:rPr>
          <w:rFonts w:ascii="宋体" w:hAnsi="宋体" w:eastAsia="宋体" w:cs="宋体"/>
          <w:spacing w:val="4"/>
          <w:sz w:val="24"/>
          <w:szCs w:val="24"/>
        </w:rPr>
        <w:t>负偏离</w:t>
      </w:r>
      <w:r>
        <w:rPr>
          <w:rFonts w:ascii="Arial" w:hAnsi="Arial" w:eastAsia="Arial" w:cs="Arial"/>
          <w:spacing w:val="4"/>
          <w:sz w:val="24"/>
          <w:szCs w:val="24"/>
        </w:rPr>
        <w:t>”</w:t>
      </w:r>
      <w:r>
        <w:rPr>
          <w:rFonts w:ascii="宋体" w:hAnsi="宋体" w:eastAsia="宋体" w:cs="宋体"/>
          <w:spacing w:val="4"/>
          <w:sz w:val="24"/>
          <w:szCs w:val="24"/>
        </w:rPr>
        <w:t>。</w:t>
      </w:r>
    </w:p>
    <w:p>
      <w:pPr>
        <w:pStyle w:val="13"/>
        <w:spacing w:line="360" w:lineRule="auto"/>
        <w:rPr>
          <w:rFonts w:hint="eastAsia" w:hAnsi="宋体"/>
          <w:color w:val="auto"/>
          <w:sz w:val="24"/>
        </w:rPr>
      </w:pPr>
      <w:r>
        <w:rPr>
          <w:rFonts w:hint="eastAsia" w:hAnsi="宋体"/>
          <w:color w:val="auto"/>
          <w:sz w:val="24"/>
          <w:szCs w:val="24"/>
        </w:rPr>
        <w:t>投标人公章（电子签章）：</w:t>
      </w:r>
      <w:r>
        <w:rPr>
          <w:rFonts w:hint="eastAsia" w:hAnsi="宋体"/>
          <w:color w:val="auto"/>
          <w:sz w:val="24"/>
        </w:rPr>
        <w:t xml:space="preserve"> </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pPr>
        <w:spacing w:line="360" w:lineRule="auto"/>
        <w:jc w:val="left"/>
        <w:rPr>
          <w:rFonts w:hint="eastAsia" w:ascii="宋体" w:hAnsi="宋体"/>
          <w:color w:val="auto"/>
          <w:sz w:val="24"/>
          <w:szCs w:val="24"/>
          <w:u w:val="single"/>
        </w:rPr>
      </w:pPr>
      <w:r>
        <w:rPr>
          <w:rFonts w:hint="eastAsia" w:ascii="宋体" w:hAnsi="宋体"/>
          <w:color w:val="auto"/>
          <w:sz w:val="24"/>
          <w:szCs w:val="24"/>
        </w:rPr>
        <w:t>日    期：</w:t>
      </w:r>
      <w:r>
        <w:rPr>
          <w:rFonts w:hint="eastAsia" w:ascii="宋体" w:hAnsi="宋体"/>
          <w:color w:val="auto"/>
          <w:sz w:val="24"/>
          <w:szCs w:val="24"/>
          <w:u w:val="single"/>
        </w:rPr>
        <w:t xml:space="preserve">                         </w:t>
      </w:r>
    </w:p>
    <w:p>
      <w:pPr>
        <w:widowControl/>
        <w:spacing w:line="360" w:lineRule="auto"/>
        <w:jc w:val="left"/>
        <w:rPr>
          <w:rFonts w:hint="eastAsia" w:ascii="宋体" w:hAnsi="宋体" w:cs="宋体"/>
          <w:color w:val="auto"/>
          <w:sz w:val="24"/>
          <w:szCs w:val="24"/>
        </w:rPr>
      </w:pPr>
    </w:p>
    <w:p>
      <w:pPr>
        <w:spacing w:line="360" w:lineRule="auto"/>
        <w:rPr>
          <w:rFonts w:hint="eastAsia"/>
          <w:color w:val="auto"/>
        </w:rPr>
      </w:pPr>
      <w:r>
        <w:rPr>
          <w:rFonts w:hint="eastAsia"/>
          <w:b/>
          <w:color w:val="auto"/>
          <w:sz w:val="24"/>
          <w:szCs w:val="24"/>
        </w:rPr>
        <w:t xml:space="preserve">附件6  </w:t>
      </w:r>
      <w:r>
        <w:rPr>
          <w:rFonts w:hint="eastAsia" w:ascii="宋体" w:hAnsi="宋体"/>
          <w:b/>
          <w:bCs/>
          <w:color w:val="auto"/>
          <w:sz w:val="24"/>
        </w:rPr>
        <w:t>证明投标货物的合格性和符合招标文件规定的文件</w:t>
      </w: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四</w:t>
      </w:r>
      <w:r>
        <w:rPr>
          <w:rFonts w:hint="eastAsia"/>
          <w:b/>
          <w:color w:val="auto"/>
          <w:sz w:val="24"/>
          <w:szCs w:val="24"/>
        </w:rPr>
        <w:t>部分“</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74"/>
          <w:rFonts w:hint="eastAsia" w:ascii="宋体" w:hAnsi="宋体"/>
          <w:b/>
          <w:color w:val="auto"/>
        </w:rPr>
        <w:t xml:space="preserve">，格式自拟） </w:t>
      </w:r>
    </w:p>
    <w:p>
      <w:pPr>
        <w:spacing w:line="360" w:lineRule="auto"/>
        <w:rPr>
          <w:rStyle w:val="74"/>
          <w:rFonts w:hint="eastAsia" w:ascii="宋体" w:hAnsi="宋体"/>
          <w:bCs/>
          <w:color w:val="auto"/>
        </w:rPr>
      </w:pPr>
      <w:r>
        <w:rPr>
          <w:rStyle w:val="74"/>
          <w:rFonts w:hint="eastAsia" w:ascii="宋体" w:hAnsi="宋体"/>
          <w:bCs/>
          <w:color w:val="auto"/>
        </w:rPr>
        <w:t>6.1投标人应提交证明文件，证明其拟供的合同项下的货物和服务的合格性符合招标文件规定。该证明文件是投标文件的一部分。</w:t>
      </w:r>
    </w:p>
    <w:p>
      <w:pPr>
        <w:spacing w:line="360" w:lineRule="auto"/>
        <w:rPr>
          <w:rStyle w:val="74"/>
          <w:rFonts w:hint="eastAsia" w:ascii="宋体" w:hAnsi="宋体"/>
          <w:bCs/>
          <w:color w:val="auto"/>
        </w:rPr>
      </w:pPr>
      <w:r>
        <w:rPr>
          <w:rStyle w:val="74"/>
          <w:rFonts w:hint="eastAsia" w:ascii="宋体" w:hAnsi="宋体"/>
          <w:bCs/>
          <w:color w:val="auto"/>
        </w:rPr>
        <w:t>6.2上款所述的证明文件，可以是文字资料、图纸和数据，它包括：</w:t>
      </w:r>
    </w:p>
    <w:p>
      <w:pPr>
        <w:spacing w:line="360" w:lineRule="auto"/>
        <w:rPr>
          <w:rStyle w:val="74"/>
          <w:rFonts w:hint="eastAsia" w:ascii="宋体" w:hAnsi="宋体"/>
          <w:bCs/>
          <w:color w:val="auto"/>
        </w:rPr>
      </w:pPr>
      <w:r>
        <w:rPr>
          <w:rStyle w:val="74"/>
          <w:rFonts w:hint="eastAsia" w:ascii="宋体" w:hAnsi="宋体"/>
          <w:bCs/>
          <w:color w:val="auto"/>
        </w:rPr>
        <w:t>6.2.1货物主要技术指标和性能的详细说明。</w:t>
      </w:r>
    </w:p>
    <w:p>
      <w:pPr>
        <w:spacing w:line="360" w:lineRule="auto"/>
        <w:rPr>
          <w:rStyle w:val="74"/>
          <w:rFonts w:hint="eastAsia" w:ascii="宋体" w:hAnsi="宋体"/>
          <w:bCs/>
          <w:color w:val="auto"/>
        </w:rPr>
      </w:pPr>
      <w:r>
        <w:rPr>
          <w:rStyle w:val="74"/>
          <w:rFonts w:hint="eastAsia" w:ascii="宋体" w:hAnsi="宋体"/>
          <w:bCs/>
          <w:color w:val="auto"/>
        </w:rPr>
        <w:t>6.2.2货物从买方开始使用至招标文件规定的保质期内正常、连续地使用所必须的备件和专用工具清单。</w:t>
      </w:r>
    </w:p>
    <w:p>
      <w:pPr>
        <w:spacing w:line="360" w:lineRule="auto"/>
        <w:rPr>
          <w:rStyle w:val="74"/>
          <w:rFonts w:hint="eastAsia" w:ascii="宋体" w:hAnsi="宋体"/>
          <w:bCs/>
          <w:color w:val="auto"/>
        </w:rPr>
      </w:pPr>
      <w:r>
        <w:rPr>
          <w:rStyle w:val="74"/>
          <w:rFonts w:hint="eastAsia" w:ascii="宋体" w:hAnsi="宋体"/>
          <w:bCs/>
          <w:color w:val="auto"/>
        </w:rPr>
        <w:t>6.2.3对照招标文件技术规格，逐条说明所提供货物和服务已对招标文件的技术规格做出了实质性的响应，或申明与技术规格条文的偏差和例外。</w:t>
      </w:r>
    </w:p>
    <w:p>
      <w:pPr>
        <w:spacing w:line="360" w:lineRule="auto"/>
        <w:rPr>
          <w:rStyle w:val="74"/>
          <w:rFonts w:hint="eastAsia" w:ascii="宋体" w:hAnsi="宋体"/>
          <w:bCs/>
          <w:color w:val="auto"/>
        </w:rPr>
      </w:pPr>
      <w:r>
        <w:rPr>
          <w:rStyle w:val="74"/>
          <w:rFonts w:hint="eastAsia" w:ascii="宋体" w:hAnsi="宋体"/>
          <w:bCs/>
          <w:color w:val="auto"/>
        </w:rPr>
        <w:t>6.2.4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pPr>
        <w:spacing w:line="360" w:lineRule="auto"/>
        <w:rPr>
          <w:rStyle w:val="74"/>
          <w:rFonts w:hint="eastAsia" w:ascii="宋体" w:hAnsi="宋体"/>
          <w:bCs/>
          <w:color w:val="auto"/>
        </w:rPr>
      </w:pPr>
      <w:r>
        <w:rPr>
          <w:rStyle w:val="74"/>
          <w:rFonts w:hint="eastAsia" w:ascii="宋体" w:hAnsi="宋体"/>
          <w:bCs/>
          <w:color w:val="auto"/>
        </w:rPr>
        <w:t>6.2.5招标文件要求的其他证明材料，如检测报告、</w:t>
      </w:r>
      <w:r>
        <w:rPr>
          <w:rStyle w:val="74"/>
          <w:rFonts w:hint="eastAsia" w:ascii="宋体" w:hAnsi="宋体"/>
          <w:bCs/>
          <w:color w:val="auto"/>
          <w:lang w:eastAsia="zh-CN"/>
        </w:rPr>
        <w:t>产品功能截图、彩页、</w:t>
      </w:r>
      <w:r>
        <w:rPr>
          <w:rStyle w:val="74"/>
          <w:rFonts w:hint="eastAsia" w:ascii="宋体" w:hAnsi="宋体"/>
          <w:bCs/>
          <w:color w:val="auto"/>
        </w:rPr>
        <w:t>环保节能产品认证等。</w:t>
      </w:r>
    </w:p>
    <w:p>
      <w:pPr>
        <w:pStyle w:val="16"/>
        <w:spacing w:line="360" w:lineRule="auto"/>
        <w:ind w:firstLine="0" w:firstLineChars="0"/>
        <w:rPr>
          <w:rFonts w:hint="eastAsia" w:hAnsi="宋体"/>
          <w:color w:val="auto"/>
          <w:sz w:val="24"/>
        </w:rPr>
      </w:pPr>
      <w:r>
        <w:rPr>
          <w:rFonts w:hint="eastAsia" w:hAnsi="宋体"/>
          <w:color w:val="auto"/>
          <w:sz w:val="24"/>
          <w:szCs w:val="24"/>
        </w:rPr>
        <w:t>投标人公章（电子签章）：</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日    期：</w:t>
      </w:r>
      <w:r>
        <w:rPr>
          <w:rFonts w:hint="eastAsia" w:ascii="宋体" w:hAnsi="宋体"/>
          <w:color w:val="auto"/>
          <w:sz w:val="24"/>
          <w:szCs w:val="24"/>
          <w:u w:val="single"/>
        </w:rPr>
        <w:t xml:space="preserve">                         </w:t>
      </w:r>
    </w:p>
    <w:p>
      <w:pPr>
        <w:spacing w:line="360" w:lineRule="auto"/>
        <w:ind w:firstLine="480" w:firstLineChars="200"/>
        <w:rPr>
          <w:rFonts w:hint="eastAsia" w:ascii="宋体" w:hAnsi="宋体"/>
          <w:color w:val="auto"/>
          <w:sz w:val="24"/>
          <w:szCs w:val="24"/>
          <w:u w:val="single"/>
        </w:rPr>
      </w:pPr>
    </w:p>
    <w:p>
      <w:pPr>
        <w:widowControl/>
        <w:jc w:val="left"/>
        <w:rPr>
          <w:rStyle w:val="74"/>
          <w:rFonts w:hint="eastAsia" w:ascii="宋体" w:hAnsi="宋体"/>
          <w:b/>
          <w:color w:val="auto"/>
        </w:rPr>
      </w:pPr>
      <w:r>
        <w:rPr>
          <w:rFonts w:hint="eastAsia"/>
          <w:b/>
          <w:color w:val="auto"/>
          <w:sz w:val="24"/>
          <w:szCs w:val="24"/>
        </w:rPr>
        <w:t xml:space="preserve">附件7 </w:t>
      </w:r>
      <w:r>
        <w:rPr>
          <w:rFonts w:hint="eastAsia"/>
          <w:b/>
          <w:color w:val="auto"/>
          <w:sz w:val="24"/>
          <w:szCs w:val="24"/>
          <w:lang w:eastAsia="zh-CN"/>
        </w:rPr>
        <w:t>投标</w:t>
      </w:r>
      <w:r>
        <w:rPr>
          <w:rFonts w:hint="eastAsia"/>
          <w:b/>
          <w:color w:val="auto"/>
          <w:sz w:val="24"/>
          <w:szCs w:val="24"/>
        </w:rPr>
        <w:t>方案（应答本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四</w:t>
      </w:r>
      <w:r>
        <w:rPr>
          <w:rFonts w:hint="eastAsia"/>
          <w:b/>
          <w:color w:val="auto"/>
          <w:sz w:val="24"/>
          <w:szCs w:val="24"/>
        </w:rPr>
        <w:t>部分“</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74"/>
          <w:rFonts w:hint="eastAsia" w:ascii="宋体" w:hAnsi="宋体"/>
          <w:b/>
          <w:color w:val="auto"/>
        </w:rPr>
        <w:t>，格式自拟）</w:t>
      </w:r>
    </w:p>
    <w:p>
      <w:pPr>
        <w:numPr>
          <w:ilvl w:val="-1"/>
          <w:numId w:val="0"/>
        </w:numPr>
        <w:spacing w:line="360" w:lineRule="auto"/>
        <w:rPr>
          <w:rFonts w:hint="eastAsia" w:ascii="宋体" w:hAnsi="宋体" w:eastAsia="宋体" w:cs="宋体"/>
          <w:color w:val="0000FF"/>
          <w:lang w:val="en-US" w:eastAsia="zh-CN" w:bidi="ar-SA"/>
        </w:rPr>
      </w:pPr>
    </w:p>
    <w:p>
      <w:pPr>
        <w:numPr>
          <w:ilvl w:val="-1"/>
          <w:numId w:val="0"/>
        </w:numPr>
        <w:spacing w:line="360" w:lineRule="auto"/>
        <w:rPr>
          <w:rFonts w:hint="eastAsia"/>
          <w:sz w:val="24"/>
        </w:rPr>
      </w:pPr>
      <w:r>
        <w:rPr>
          <w:rFonts w:hint="eastAsia" w:ascii="宋体" w:hAnsi="宋体" w:eastAsia="宋体" w:cs="宋体"/>
          <w:color w:val="auto"/>
          <w:lang w:val="en-US" w:eastAsia="zh-CN" w:bidi="ar-SA"/>
        </w:rPr>
        <w:t>7.1</w:t>
      </w:r>
      <w:r>
        <w:rPr>
          <w:rFonts w:hint="eastAsia"/>
          <w:sz w:val="24"/>
          <w:lang w:eastAsia="zh-CN"/>
        </w:rPr>
        <w:t>项目实施方案</w:t>
      </w:r>
    </w:p>
    <w:p>
      <w:pPr>
        <w:numPr>
          <w:ilvl w:val="-1"/>
          <w:numId w:val="0"/>
        </w:numPr>
        <w:spacing w:line="360" w:lineRule="auto"/>
        <w:rPr>
          <w:rFonts w:hint="eastAsia"/>
          <w:color w:val="auto"/>
          <w:sz w:val="24"/>
          <w:szCs w:val="24"/>
        </w:rPr>
      </w:pPr>
      <w:r>
        <w:rPr>
          <w:rFonts w:hint="eastAsia" w:ascii="宋体" w:hAnsi="宋体" w:cs="宋体"/>
          <w:b w:val="0"/>
          <w:bCs w:val="0"/>
          <w:color w:val="auto"/>
          <w:sz w:val="24"/>
          <w:szCs w:val="24"/>
          <w:lang w:val="en-US" w:eastAsia="zh-CN"/>
        </w:rPr>
        <w:t>7.2</w:t>
      </w:r>
      <w:r>
        <w:rPr>
          <w:rFonts w:hint="eastAsia" w:ascii="宋体" w:hAnsi="宋体" w:cs="宋体"/>
          <w:color w:val="auto"/>
          <w:lang w:val="en-US" w:eastAsia="zh-CN" w:bidi="ar-SA"/>
        </w:rPr>
        <w:t>培训方案</w:t>
      </w:r>
    </w:p>
    <w:p>
      <w:pPr>
        <w:pStyle w:val="10"/>
        <w:numPr>
          <w:ilvl w:val="-1"/>
          <w:numId w:val="0"/>
        </w:numPr>
        <w:rPr>
          <w:rFonts w:hint="eastAsia" w:ascii="宋体" w:hAnsi="宋体" w:cs="宋体"/>
          <w:color w:val="auto"/>
          <w:lang w:val="en-US" w:eastAsia="zh-CN" w:bidi="ar-SA"/>
        </w:rPr>
      </w:pPr>
    </w:p>
    <w:p>
      <w:pPr>
        <w:pStyle w:val="13"/>
        <w:spacing w:line="360" w:lineRule="auto"/>
        <w:ind w:firstLine="480" w:firstLineChars="200"/>
        <w:rPr>
          <w:rFonts w:hint="eastAsia" w:hAnsi="宋体"/>
          <w:color w:val="auto"/>
          <w:sz w:val="24"/>
        </w:rPr>
      </w:pPr>
      <w:r>
        <w:rPr>
          <w:rFonts w:hint="eastAsia" w:hAnsi="宋体"/>
          <w:color w:val="auto"/>
          <w:sz w:val="24"/>
          <w:szCs w:val="24"/>
        </w:rPr>
        <w:t>投标人公章（电子签章）：</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pPr>
        <w:spacing w:line="360" w:lineRule="auto"/>
        <w:ind w:firstLine="480" w:firstLineChars="200"/>
        <w:rPr>
          <w:rFonts w:ascii="宋体" w:hAnsi="宋体"/>
          <w:color w:val="auto"/>
          <w:sz w:val="24"/>
          <w:szCs w:val="24"/>
          <w:u w:val="single"/>
        </w:rPr>
      </w:pPr>
      <w:r>
        <w:rPr>
          <w:rFonts w:hint="eastAsia" w:ascii="宋体" w:hAnsi="宋体"/>
          <w:color w:val="auto"/>
          <w:sz w:val="24"/>
          <w:szCs w:val="24"/>
        </w:rPr>
        <w:t>日    期：</w:t>
      </w:r>
      <w:r>
        <w:rPr>
          <w:rFonts w:hint="eastAsia" w:ascii="宋体" w:hAnsi="宋体"/>
          <w:color w:val="auto"/>
          <w:sz w:val="24"/>
          <w:szCs w:val="24"/>
          <w:u w:val="single"/>
        </w:rPr>
        <w:t xml:space="preserve">                         </w:t>
      </w:r>
    </w:p>
    <w:p>
      <w:pPr>
        <w:spacing w:line="360" w:lineRule="auto"/>
        <w:rPr>
          <w:rFonts w:hint="eastAsia"/>
          <w:color w:val="auto"/>
          <w:sz w:val="24"/>
          <w:szCs w:val="24"/>
        </w:rPr>
      </w:pPr>
      <w:r>
        <w:rPr>
          <w:rFonts w:hint="eastAsia"/>
          <w:b/>
          <w:color w:val="auto"/>
          <w:sz w:val="24"/>
          <w:szCs w:val="24"/>
        </w:rPr>
        <w:t xml:space="preserve">附件8  </w:t>
      </w:r>
      <w:r>
        <w:rPr>
          <w:rFonts w:hint="eastAsia"/>
          <w:b/>
          <w:color w:val="auto"/>
          <w:sz w:val="24"/>
          <w:szCs w:val="24"/>
          <w:lang w:eastAsia="zh-CN"/>
        </w:rPr>
        <w:t>售后</w:t>
      </w:r>
      <w:r>
        <w:rPr>
          <w:rFonts w:hint="eastAsia" w:ascii="宋体" w:hAnsi="宋体"/>
          <w:b/>
          <w:color w:val="auto"/>
          <w:sz w:val="24"/>
          <w:szCs w:val="24"/>
          <w:lang w:eastAsia="zh-CN"/>
        </w:rPr>
        <w:t>服务方案</w:t>
      </w:r>
      <w:r>
        <w:rPr>
          <w:rFonts w:hint="eastAsia" w:ascii="宋体" w:hAnsi="宋体"/>
          <w:b/>
          <w:color w:val="auto"/>
          <w:sz w:val="24"/>
          <w:szCs w:val="24"/>
        </w:rPr>
        <w:t>（应答本</w:t>
      </w:r>
      <w:r>
        <w:rPr>
          <w:rFonts w:hint="eastAsia" w:ascii="宋体" w:hAnsi="宋体"/>
          <w:b/>
          <w:color w:val="auto"/>
          <w:sz w:val="24"/>
          <w:szCs w:val="24"/>
          <w:lang w:eastAsia="zh-CN"/>
        </w:rPr>
        <w:t>招标文件</w:t>
      </w:r>
      <w:r>
        <w:rPr>
          <w:rFonts w:hint="eastAsia" w:ascii="宋体" w:hAnsi="宋体"/>
          <w:b/>
          <w:color w:val="auto"/>
          <w:sz w:val="24"/>
          <w:szCs w:val="24"/>
        </w:rPr>
        <w:t>第四部分“采购需求”中的具体要求，格式自拟）</w:t>
      </w:r>
    </w:p>
    <w:p>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8.1</w:t>
      </w:r>
      <w:r>
        <w:rPr>
          <w:rFonts w:hint="eastAsia" w:ascii="宋体" w:hAnsi="宋体" w:cs="宋体"/>
          <w:color w:val="auto"/>
          <w:sz w:val="24"/>
          <w:szCs w:val="24"/>
          <w:lang w:eastAsia="zh-CN"/>
        </w:rPr>
        <w:t>产品保修期限承诺及相关证明材料；</w:t>
      </w:r>
    </w:p>
    <w:p>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8.2售后服务方案。</w:t>
      </w:r>
    </w:p>
    <w:p>
      <w:pPr>
        <w:spacing w:line="360" w:lineRule="auto"/>
        <w:rPr>
          <w:rFonts w:hint="eastAsia"/>
          <w:b/>
          <w:bCs/>
          <w:color w:val="auto"/>
          <w:sz w:val="24"/>
          <w:szCs w:val="24"/>
        </w:rPr>
      </w:pPr>
    </w:p>
    <w:p>
      <w:pPr>
        <w:pStyle w:val="13"/>
        <w:spacing w:line="360" w:lineRule="auto"/>
        <w:ind w:firstLine="480" w:firstLineChars="200"/>
        <w:rPr>
          <w:rFonts w:hint="eastAsia" w:hAnsi="宋体"/>
          <w:color w:val="auto"/>
          <w:sz w:val="24"/>
        </w:rPr>
      </w:pPr>
      <w:r>
        <w:rPr>
          <w:rFonts w:hint="eastAsia" w:hAnsi="宋体"/>
          <w:color w:val="auto"/>
          <w:sz w:val="24"/>
          <w:szCs w:val="24"/>
        </w:rPr>
        <w:t>投标人公章（电子签章）：</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pPr>
        <w:widowControl/>
        <w:spacing w:line="360" w:lineRule="auto"/>
        <w:ind w:firstLine="480" w:firstLineChars="200"/>
        <w:jc w:val="left"/>
        <w:rPr>
          <w:rFonts w:hint="eastAsia" w:ascii="宋体" w:hAnsi="宋体"/>
          <w:b/>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p>
    <w:p>
      <w:pPr>
        <w:widowControl/>
        <w:jc w:val="left"/>
        <w:rPr>
          <w:rFonts w:hint="eastAsia" w:ascii="宋体" w:hAnsi="宋体"/>
          <w:b/>
          <w:color w:val="auto"/>
          <w:sz w:val="24"/>
          <w:szCs w:val="24"/>
        </w:rPr>
      </w:pPr>
    </w:p>
    <w:p>
      <w:pPr>
        <w:spacing w:line="360" w:lineRule="auto"/>
        <w:rPr>
          <w:rFonts w:hint="eastAsia" w:hAnsi="宋体"/>
          <w:color w:val="000000"/>
          <w:sz w:val="24"/>
          <w:szCs w:val="24"/>
        </w:rPr>
      </w:pPr>
      <w:r>
        <w:rPr>
          <w:rFonts w:hint="eastAsia"/>
          <w:b/>
          <w:color w:val="auto"/>
          <w:sz w:val="24"/>
          <w:szCs w:val="24"/>
        </w:rPr>
        <w:t xml:space="preserve">附件9 </w:t>
      </w:r>
      <w:r>
        <w:rPr>
          <w:rFonts w:hint="eastAsia"/>
          <w:b/>
          <w:color w:val="auto"/>
          <w:sz w:val="24"/>
          <w:szCs w:val="24"/>
          <w:lang w:eastAsia="zh-CN"/>
        </w:rPr>
        <w:t>投标人业绩</w:t>
      </w:r>
      <w:r>
        <w:rPr>
          <w:rFonts w:hint="eastAsia" w:ascii="宋体" w:hAnsi="宋体"/>
          <w:b w:val="0"/>
          <w:bCs/>
          <w:color w:val="000000"/>
          <w:sz w:val="24"/>
          <w:szCs w:val="24"/>
        </w:rPr>
        <w:t>（</w:t>
      </w:r>
      <w:r>
        <w:rPr>
          <w:rFonts w:hint="eastAsia" w:hAnsi="宋体"/>
          <w:b w:val="0"/>
          <w:bCs/>
          <w:color w:val="000000"/>
          <w:sz w:val="24"/>
          <w:szCs w:val="24"/>
        </w:rPr>
        <w:t>证明材料需提供合同首页、合同金额关键页、合同</w:t>
      </w:r>
      <w:r>
        <w:rPr>
          <w:rFonts w:hint="eastAsia" w:hAnsi="宋体"/>
          <w:b w:val="0"/>
          <w:bCs/>
          <w:color w:val="000000"/>
          <w:sz w:val="24"/>
          <w:szCs w:val="24"/>
          <w:lang w:eastAsia="zh-CN"/>
        </w:rPr>
        <w:t>签字</w:t>
      </w:r>
      <w:r>
        <w:rPr>
          <w:rFonts w:hint="eastAsia" w:hAnsi="宋体"/>
          <w:b w:val="0"/>
          <w:bCs/>
          <w:color w:val="000000"/>
          <w:sz w:val="24"/>
          <w:szCs w:val="24"/>
        </w:rPr>
        <w:t>盖章页、合同清单页的复印件，并加盖投标人公章）</w:t>
      </w: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pPr>
        <w:spacing w:line="300" w:lineRule="auto"/>
        <w:ind w:left="410" w:leftChars="171"/>
        <w:jc w:val="left"/>
        <w:rPr>
          <w:rFonts w:hint="eastAsia" w:ascii="宋体" w:hAnsi="宋体"/>
          <w:color w:val="auto"/>
          <w:sz w:val="24"/>
          <w:szCs w:val="24"/>
        </w:rPr>
      </w:pPr>
      <w:r>
        <w:rPr>
          <w:rFonts w:hint="eastAsia" w:ascii="宋体" w:hAnsi="宋体"/>
          <w:color w:val="auto"/>
          <w:sz w:val="24"/>
          <w:szCs w:val="24"/>
        </w:rPr>
        <w:t>项目编号：</w:t>
      </w:r>
    </w:p>
    <w:p>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31"/>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505"/>
        <w:gridCol w:w="1340"/>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505"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4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187"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505" w:type="dxa"/>
            <w:vAlign w:val="center"/>
          </w:tcPr>
          <w:p>
            <w:pPr>
              <w:snapToGrid w:val="0"/>
              <w:jc w:val="center"/>
              <w:rPr>
                <w:rFonts w:hint="eastAsia" w:ascii="宋体" w:hAnsi="宋体"/>
                <w:color w:val="auto"/>
                <w:szCs w:val="21"/>
              </w:rPr>
            </w:pPr>
          </w:p>
        </w:tc>
        <w:tc>
          <w:tcPr>
            <w:tcW w:w="1340" w:type="dxa"/>
            <w:vAlign w:val="center"/>
          </w:tcPr>
          <w:p>
            <w:pPr>
              <w:snapToGrid w:val="0"/>
              <w:jc w:val="center"/>
              <w:rPr>
                <w:rFonts w:hint="eastAsia" w:ascii="宋体" w:hAnsi="宋体"/>
                <w:color w:val="auto"/>
                <w:szCs w:val="21"/>
              </w:rPr>
            </w:pPr>
          </w:p>
        </w:tc>
        <w:tc>
          <w:tcPr>
            <w:tcW w:w="2187"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505" w:type="dxa"/>
            <w:vAlign w:val="center"/>
          </w:tcPr>
          <w:p>
            <w:pPr>
              <w:snapToGrid w:val="0"/>
              <w:jc w:val="center"/>
              <w:rPr>
                <w:rFonts w:hint="eastAsia" w:ascii="宋体" w:hAnsi="宋体"/>
                <w:color w:val="auto"/>
                <w:szCs w:val="21"/>
              </w:rPr>
            </w:pPr>
          </w:p>
        </w:tc>
        <w:tc>
          <w:tcPr>
            <w:tcW w:w="1340" w:type="dxa"/>
            <w:vAlign w:val="center"/>
          </w:tcPr>
          <w:p>
            <w:pPr>
              <w:snapToGrid w:val="0"/>
              <w:jc w:val="center"/>
              <w:rPr>
                <w:rFonts w:hint="eastAsia" w:ascii="宋体" w:hAnsi="宋体"/>
                <w:color w:val="auto"/>
                <w:szCs w:val="21"/>
              </w:rPr>
            </w:pPr>
          </w:p>
        </w:tc>
        <w:tc>
          <w:tcPr>
            <w:tcW w:w="2187"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505" w:type="dxa"/>
            <w:vAlign w:val="center"/>
          </w:tcPr>
          <w:p>
            <w:pPr>
              <w:snapToGrid w:val="0"/>
              <w:jc w:val="center"/>
              <w:rPr>
                <w:rFonts w:hint="eastAsia" w:ascii="宋体" w:hAnsi="宋体"/>
                <w:color w:val="auto"/>
                <w:szCs w:val="21"/>
              </w:rPr>
            </w:pPr>
          </w:p>
        </w:tc>
        <w:tc>
          <w:tcPr>
            <w:tcW w:w="1340" w:type="dxa"/>
            <w:vAlign w:val="center"/>
          </w:tcPr>
          <w:p>
            <w:pPr>
              <w:snapToGrid w:val="0"/>
              <w:jc w:val="center"/>
              <w:rPr>
                <w:rFonts w:hint="eastAsia" w:ascii="宋体" w:hAnsi="宋体"/>
                <w:color w:val="auto"/>
                <w:szCs w:val="21"/>
              </w:rPr>
            </w:pPr>
          </w:p>
        </w:tc>
        <w:tc>
          <w:tcPr>
            <w:tcW w:w="2187"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505" w:type="dxa"/>
            <w:vAlign w:val="center"/>
          </w:tcPr>
          <w:p>
            <w:pPr>
              <w:snapToGrid w:val="0"/>
              <w:jc w:val="center"/>
              <w:rPr>
                <w:rFonts w:hint="eastAsia" w:ascii="宋体" w:hAnsi="宋体"/>
                <w:color w:val="auto"/>
                <w:szCs w:val="21"/>
              </w:rPr>
            </w:pPr>
          </w:p>
        </w:tc>
        <w:tc>
          <w:tcPr>
            <w:tcW w:w="1340" w:type="dxa"/>
            <w:vAlign w:val="center"/>
          </w:tcPr>
          <w:p>
            <w:pPr>
              <w:snapToGrid w:val="0"/>
              <w:jc w:val="center"/>
              <w:rPr>
                <w:rFonts w:hint="eastAsia" w:ascii="宋体" w:hAnsi="宋体"/>
                <w:color w:val="auto"/>
                <w:szCs w:val="21"/>
              </w:rPr>
            </w:pPr>
          </w:p>
        </w:tc>
        <w:tc>
          <w:tcPr>
            <w:tcW w:w="2187" w:type="dxa"/>
            <w:vAlign w:val="center"/>
          </w:tcPr>
          <w:p>
            <w:pPr>
              <w:snapToGrid w:val="0"/>
              <w:jc w:val="center"/>
              <w:rPr>
                <w:rFonts w:hint="eastAsia" w:ascii="宋体" w:hAnsi="宋体"/>
                <w:color w:val="auto"/>
                <w:szCs w:val="21"/>
              </w:rPr>
            </w:pPr>
          </w:p>
        </w:tc>
      </w:tr>
    </w:tbl>
    <w:p>
      <w:pPr>
        <w:pStyle w:val="13"/>
        <w:rPr>
          <w:rFonts w:hAnsi="宋体"/>
          <w:color w:val="auto"/>
          <w:sz w:val="24"/>
        </w:rPr>
      </w:pPr>
    </w:p>
    <w:p>
      <w:pPr>
        <w:spacing w:line="360" w:lineRule="auto"/>
        <w:rPr>
          <w:rFonts w:hint="eastAsia" w:hAnsi="宋体"/>
          <w:color w:val="auto"/>
          <w:sz w:val="24"/>
          <w:u w:val="single"/>
        </w:rPr>
      </w:pPr>
      <w:r>
        <w:rPr>
          <w:rFonts w:hint="eastAsia" w:hAnsi="宋体"/>
          <w:color w:val="auto"/>
          <w:sz w:val="24"/>
          <w:szCs w:val="24"/>
        </w:rPr>
        <w:t>投标人公章（电子签章）：</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pPr>
        <w:spacing w:line="300" w:lineRule="auto"/>
        <w:jc w:val="left"/>
        <w:rPr>
          <w:rFonts w:ascii="宋体" w:hAnsi="宋体"/>
          <w:color w:val="auto"/>
          <w:sz w:val="24"/>
          <w:szCs w:val="24"/>
          <w:u w:val="single"/>
        </w:rPr>
      </w:pPr>
      <w:r>
        <w:rPr>
          <w:rFonts w:hint="eastAsia" w:ascii="宋体" w:hAnsi="宋体"/>
          <w:color w:val="auto"/>
          <w:sz w:val="24"/>
          <w:szCs w:val="24"/>
        </w:rPr>
        <w:t>日    期：</w:t>
      </w:r>
      <w:r>
        <w:rPr>
          <w:rFonts w:hint="eastAsia" w:ascii="宋体" w:hAnsi="宋体"/>
          <w:color w:val="auto"/>
          <w:sz w:val="24"/>
          <w:szCs w:val="24"/>
          <w:u w:val="single"/>
        </w:rPr>
        <w:t xml:space="preserve">                         </w:t>
      </w:r>
    </w:p>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514"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r>
        <w:rPr>
          <w:rFonts w:hint="eastAsia" w:ascii="宋体" w:hAnsi="宋体"/>
          <w:color w:val="auto"/>
          <w:sz w:val="24"/>
          <w:szCs w:val="24"/>
          <w:lang w:eastAsia="zh-CN"/>
        </w:rPr>
        <w:t>。</w:t>
      </w:r>
    </w:p>
    <w:p>
      <w:pPr>
        <w:pStyle w:val="13"/>
        <w:tabs>
          <w:tab w:val="left" w:pos="5220"/>
        </w:tabs>
        <w:spacing w:line="360" w:lineRule="auto"/>
        <w:rPr>
          <w:rFonts w:hint="eastAsia" w:hAnsi="宋体" w:cs="Times New Roman"/>
          <w:b/>
          <w:color w:val="auto"/>
          <w:sz w:val="24"/>
          <w:szCs w:val="24"/>
        </w:rPr>
      </w:pPr>
      <w:r>
        <w:rPr>
          <w:rFonts w:hint="eastAsia" w:hAnsi="宋体"/>
          <w:b/>
          <w:color w:val="auto"/>
          <w:sz w:val="24"/>
          <w:szCs w:val="24"/>
        </w:rPr>
        <w:t>附件1</w:t>
      </w:r>
      <w:r>
        <w:rPr>
          <w:rFonts w:hint="eastAsia" w:hAnsi="宋体"/>
          <w:b/>
          <w:color w:val="auto"/>
          <w:sz w:val="24"/>
          <w:szCs w:val="24"/>
          <w:lang w:val="en-US" w:eastAsia="zh-CN"/>
        </w:rPr>
        <w:t xml:space="preserve">0 </w:t>
      </w:r>
      <w:r>
        <w:rPr>
          <w:rFonts w:hint="eastAsia" w:hAnsi="宋体"/>
          <w:b/>
          <w:color w:val="auto"/>
          <w:sz w:val="24"/>
          <w:szCs w:val="24"/>
        </w:rPr>
        <w:t xml:space="preserve"> </w:t>
      </w:r>
      <w:r>
        <w:rPr>
          <w:rFonts w:hint="eastAsia" w:hAnsi="宋体"/>
          <w:b/>
          <w:color w:val="auto"/>
          <w:sz w:val="24"/>
          <w:szCs w:val="24"/>
          <w:lang w:eastAsia="zh-CN"/>
        </w:rPr>
        <w:t>中小企业</w:t>
      </w:r>
      <w:r>
        <w:rPr>
          <w:rFonts w:hint="eastAsia" w:hAnsi="宋体" w:cs="Times New Roman"/>
          <w:b/>
          <w:color w:val="auto"/>
          <w:sz w:val="24"/>
          <w:szCs w:val="24"/>
        </w:rPr>
        <w:t>声明函</w:t>
      </w:r>
      <w:r>
        <w:rPr>
          <w:rFonts w:hint="eastAsia" w:hAnsi="宋体" w:cs="Times New Roman"/>
          <w:b/>
          <w:color w:val="auto"/>
          <w:sz w:val="24"/>
          <w:szCs w:val="24"/>
        </w:rPr>
        <w:tab/>
      </w:r>
    </w:p>
    <w:p>
      <w:pPr>
        <w:tabs>
          <w:tab w:val="left" w:pos="630"/>
        </w:tabs>
        <w:adjustRightInd w:val="0"/>
        <w:snapToGrid w:val="0"/>
        <w:spacing w:before="312" w:beforeLines="100" w:line="360" w:lineRule="auto"/>
        <w:ind w:firstLine="480" w:firstLineChars="200"/>
        <w:rPr>
          <w:rFonts w:hint="eastAsia" w:ascii="宋体" w:hAnsi="宋体"/>
          <w:color w:val="auto"/>
          <w:sz w:val="24"/>
          <w:szCs w:val="24"/>
        </w:rPr>
      </w:pPr>
      <w:r>
        <w:rPr>
          <w:rFonts w:hint="eastAsia" w:ascii="宋体" w:hAnsi="宋体"/>
          <w:color w:val="auto"/>
          <w:sz w:val="24"/>
          <w:szCs w:val="24"/>
        </w:rPr>
        <w:t>按照财政部、工业和信息化部关于《政府采购促进中小企业发展暂行办法》的通知的要求，在《工业和信息化部、国家统计局、国家发展和改革委员会、财政部关于印发中小企业划型标准规定的通知》（工信部联企业〔2011〕300号）规定中符合标准的小微企业，按招标文件提供附件提供中小企业声明函。</w:t>
      </w:r>
    </w:p>
    <w:p>
      <w:pPr>
        <w:rPr>
          <w:rFonts w:hint="eastAsia" w:ascii="宋体" w:hAnsi="宋体"/>
          <w:b/>
          <w:color w:val="auto"/>
          <w:sz w:val="24"/>
          <w:szCs w:val="24"/>
        </w:rPr>
      </w:pPr>
      <w:r>
        <w:rPr>
          <w:rFonts w:hint="eastAsia" w:ascii="宋体" w:hAnsi="宋体"/>
          <w:b/>
          <w:color w:val="auto"/>
          <w:sz w:val="24"/>
          <w:szCs w:val="24"/>
        </w:rPr>
        <w:t>附件1</w:t>
      </w:r>
      <w:r>
        <w:rPr>
          <w:rFonts w:hint="eastAsia" w:ascii="宋体" w:hAnsi="宋体"/>
          <w:b/>
          <w:color w:val="auto"/>
          <w:sz w:val="24"/>
          <w:szCs w:val="24"/>
          <w:lang w:val="en-US" w:eastAsia="zh-CN"/>
        </w:rPr>
        <w:t>0</w:t>
      </w:r>
      <w:r>
        <w:rPr>
          <w:rFonts w:hint="eastAsia" w:ascii="宋体" w:hAnsi="宋体"/>
          <w:b/>
          <w:color w:val="auto"/>
          <w:sz w:val="24"/>
          <w:szCs w:val="24"/>
        </w:rPr>
        <w:t>-1</w:t>
      </w:r>
      <w:r>
        <w:rPr>
          <w:rFonts w:hint="eastAsia" w:ascii="宋体" w:hAnsi="宋体"/>
          <w:color w:val="auto"/>
          <w:sz w:val="24"/>
          <w:szCs w:val="24"/>
        </w:rPr>
        <w:t xml:space="preserve">                    </w:t>
      </w:r>
      <w:r>
        <w:rPr>
          <w:rFonts w:hint="eastAsia" w:ascii="宋体" w:hAnsi="宋体"/>
          <w:b/>
          <w:color w:val="auto"/>
          <w:sz w:val="24"/>
          <w:szCs w:val="24"/>
        </w:rPr>
        <w:t>中小企业声明函（货物）</w:t>
      </w:r>
    </w:p>
    <w:p>
      <w:pPr>
        <w:spacing w:line="300" w:lineRule="auto"/>
        <w:rPr>
          <w:rFonts w:hint="eastAsia" w:ascii="宋体" w:hAnsi="宋体"/>
          <w:color w:val="auto"/>
          <w:sz w:val="24"/>
          <w:szCs w:val="24"/>
        </w:rPr>
      </w:pP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企业名称（盖章）：</w:t>
      </w:r>
    </w:p>
    <w:p>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招标文件第四部分采购需求中的采购清单，且须与采购清单中信息一致。</w:t>
      </w:r>
    </w:p>
    <w:p>
      <w:pPr>
        <w:pStyle w:val="10"/>
        <w:rPr>
          <w:rFonts w:hint="eastAsia" w:ascii="宋体" w:hAnsi="宋体" w:eastAsia="宋体" w:cs="宋体"/>
          <w:lang w:val="en-US" w:eastAsia="zh-CN"/>
        </w:rPr>
      </w:pPr>
      <w:r>
        <w:rPr>
          <w:rFonts w:hint="eastAsia" w:ascii="宋体" w:hAnsi="宋体" w:eastAsia="宋体" w:cs="宋体"/>
          <w:lang w:val="en-US" w:eastAsia="zh-CN"/>
        </w:rPr>
        <w:t>4.本声明函中</w:t>
      </w:r>
      <w:r>
        <w:rPr>
          <w:rFonts w:hint="eastAsia" w:ascii="宋体" w:hAnsi="宋体"/>
          <w:b w:val="0"/>
          <w:bCs/>
          <w:color w:val="auto"/>
          <w:sz w:val="24"/>
          <w:szCs w:val="24"/>
        </w:rPr>
        <w:t>采购文件中明确的所属行业名称详见</w:t>
      </w:r>
      <w:r>
        <w:rPr>
          <w:rFonts w:hint="eastAsia" w:ascii="宋体" w:hAnsi="宋体"/>
          <w:b w:val="0"/>
          <w:bCs/>
          <w:color w:val="auto"/>
          <w:sz w:val="24"/>
          <w:szCs w:val="24"/>
          <w:lang w:eastAsia="zh-CN"/>
        </w:rPr>
        <w:t>招标文件</w:t>
      </w:r>
      <w:r>
        <w:rPr>
          <w:rFonts w:hint="eastAsia" w:ascii="宋体" w:hAnsi="宋体"/>
          <w:b w:val="0"/>
          <w:bCs/>
          <w:color w:val="auto"/>
          <w:sz w:val="24"/>
          <w:szCs w:val="24"/>
        </w:rPr>
        <w:t>第二部分投标人须知前附表</w:t>
      </w:r>
      <w:r>
        <w:rPr>
          <w:rFonts w:hint="eastAsia" w:ascii="宋体" w:hAnsi="宋体"/>
          <w:b w:val="0"/>
          <w:bCs/>
          <w:color w:val="auto"/>
          <w:sz w:val="24"/>
          <w:szCs w:val="24"/>
          <w:lang w:eastAsia="zh-CN"/>
        </w:rPr>
        <w:t>。</w:t>
      </w:r>
    </w:p>
    <w:p>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lang w:val="en-US" w:eastAsia="zh-CN"/>
        </w:rPr>
        <w:t>5</w:t>
      </w:r>
      <w:r>
        <w:rPr>
          <w:rFonts w:hint="eastAsia" w:ascii="宋体" w:hAnsi="宋体"/>
          <w:b w:val="0"/>
          <w:bCs/>
          <w:color w:val="auto"/>
          <w:sz w:val="24"/>
          <w:szCs w:val="24"/>
        </w:rPr>
        <w:t>.中小企业划分标准详见工业和信息化部、国家统计局、国家发展和改革委员会、财政部联合印发的《关于印发中小企业划型标准规定的通知》（工信部联企业〔2011〕300号）。</w:t>
      </w:r>
    </w:p>
    <w:p>
      <w:pPr>
        <w:spacing w:line="360" w:lineRule="auto"/>
        <w:ind w:right="480"/>
        <w:rPr>
          <w:rFonts w:hint="eastAsia" w:ascii="宋体" w:hAnsi="宋体"/>
          <w:color w:val="auto"/>
          <w:sz w:val="24"/>
          <w:szCs w:val="24"/>
        </w:rPr>
      </w:pPr>
      <w:r>
        <w:rPr>
          <w:rFonts w:hint="eastAsia" w:ascii="宋体" w:hAnsi="宋体"/>
          <w:b w:val="0"/>
          <w:bCs/>
          <w:color w:val="auto"/>
          <w:sz w:val="24"/>
          <w:szCs w:val="24"/>
          <w:lang w:val="en-US" w:eastAsia="zh-CN"/>
        </w:rPr>
        <w:t>6</w:t>
      </w:r>
      <w:r>
        <w:rPr>
          <w:rFonts w:hint="eastAsia" w:ascii="宋体" w:hAnsi="宋体"/>
          <w:b w:val="0"/>
          <w:bCs/>
          <w:color w:val="auto"/>
          <w:sz w:val="24"/>
          <w:szCs w:val="24"/>
        </w:rPr>
        <w:t>.本声明函中企业名称（盖章）指加盖投标人公章（电子签章）。</w:t>
      </w:r>
    </w:p>
    <w:p>
      <w:pPr>
        <w:pStyle w:val="9"/>
        <w:rPr>
          <w:color w:val="auto"/>
        </w:rPr>
      </w:pPr>
    </w:p>
    <w:p>
      <w:pPr>
        <w:spacing w:line="360" w:lineRule="auto"/>
        <w:rPr>
          <w:rFonts w:ascii="宋体" w:hAnsi="宋体"/>
          <w:color w:val="auto"/>
          <w:sz w:val="28"/>
          <w:szCs w:val="28"/>
        </w:rPr>
      </w:pPr>
      <w:r>
        <w:rPr>
          <w:rFonts w:hint="eastAsia" w:ascii="宋体" w:hAnsi="宋体"/>
          <w:b/>
          <w:color w:val="auto"/>
          <w:sz w:val="24"/>
          <w:szCs w:val="24"/>
        </w:rPr>
        <w:t>附件1</w:t>
      </w:r>
      <w:r>
        <w:rPr>
          <w:rFonts w:hint="eastAsia" w:ascii="宋体" w:hAnsi="宋体"/>
          <w:b/>
          <w:color w:val="auto"/>
          <w:sz w:val="24"/>
          <w:szCs w:val="24"/>
          <w:lang w:val="en-US" w:eastAsia="zh-CN"/>
        </w:rPr>
        <w:t>0</w:t>
      </w:r>
      <w:r>
        <w:rPr>
          <w:rFonts w:hint="eastAsia" w:ascii="宋体" w:hAnsi="宋体"/>
          <w:b/>
          <w:color w:val="auto"/>
          <w:sz w:val="24"/>
          <w:szCs w:val="24"/>
        </w:rPr>
        <w:t>-2                    监狱企业证明文件</w:t>
      </w:r>
    </w:p>
    <w:p>
      <w:pPr>
        <w:spacing w:line="360" w:lineRule="auto"/>
        <w:ind w:firstLine="480" w:firstLineChars="200"/>
        <w:rPr>
          <w:rFonts w:ascii="宋体" w:hAnsi="宋体"/>
          <w:color w:val="auto"/>
          <w:sz w:val="24"/>
        </w:rPr>
      </w:pPr>
      <w:r>
        <w:rPr>
          <w:rFonts w:ascii="宋体" w:hAnsi="宋体"/>
          <w:color w:val="auto"/>
          <w:sz w:val="24"/>
        </w:rPr>
        <w:t>监狱企业视同小型、微型企业</w:t>
      </w:r>
      <w:r>
        <w:rPr>
          <w:rFonts w:hint="eastAsia" w:ascii="宋体" w:hAnsi="宋体"/>
          <w:color w:val="auto"/>
          <w:sz w:val="24"/>
        </w:rPr>
        <w:t>,监狱企业参加政府采购活动时，应当提供由省级以上监狱管理局、戒毒管理局(含新疆生产建设兵团)出具的属于监狱企业的证明文件。</w:t>
      </w:r>
      <w:r>
        <w:rPr>
          <w:rFonts w:ascii="宋体" w:hAnsi="宋体"/>
          <w:color w:val="auto"/>
          <w:sz w:val="24"/>
        </w:rPr>
        <w:t>北京市监狱企业应当提供市监狱管理局、市教育矫治局出具的监狱企业的证明文件。</w:t>
      </w:r>
    </w:p>
    <w:p>
      <w:pPr>
        <w:spacing w:line="360" w:lineRule="auto"/>
        <w:rPr>
          <w:rFonts w:ascii="宋体" w:hAnsi="宋体"/>
          <w:color w:val="auto"/>
          <w:sz w:val="28"/>
          <w:szCs w:val="28"/>
        </w:rPr>
      </w:pPr>
      <w:r>
        <w:rPr>
          <w:rFonts w:ascii="宋体" w:hAnsi="宋体"/>
          <w:color w:val="auto"/>
          <w:sz w:val="24"/>
        </w:rPr>
        <w:t xml:space="preserve"> </w:t>
      </w:r>
      <w:r>
        <w:rPr>
          <w:rFonts w:hint="eastAsia" w:ascii="宋体" w:hAnsi="宋体"/>
          <w:b/>
          <w:color w:val="auto"/>
          <w:sz w:val="24"/>
          <w:szCs w:val="24"/>
        </w:rPr>
        <w:t>附件1</w:t>
      </w:r>
      <w:r>
        <w:rPr>
          <w:rFonts w:hint="eastAsia" w:ascii="宋体" w:hAnsi="宋体"/>
          <w:b/>
          <w:color w:val="auto"/>
          <w:sz w:val="24"/>
          <w:szCs w:val="24"/>
          <w:lang w:val="en-US" w:eastAsia="zh-CN"/>
        </w:rPr>
        <w:t>0</w:t>
      </w:r>
      <w:r>
        <w:rPr>
          <w:rFonts w:hint="eastAsia" w:ascii="宋体" w:hAnsi="宋体"/>
          <w:b/>
          <w:color w:val="auto"/>
          <w:sz w:val="24"/>
          <w:szCs w:val="24"/>
        </w:rPr>
        <w:t xml:space="preserve">-3                  </w:t>
      </w:r>
      <w:r>
        <w:rPr>
          <w:rFonts w:hint="eastAsia" w:ascii="宋体" w:hAnsi="宋体"/>
          <w:b/>
          <w:bCs/>
          <w:color w:val="auto"/>
          <w:sz w:val="24"/>
          <w:szCs w:val="24"/>
        </w:rPr>
        <w:t>残疾人福利性单位声明函</w:t>
      </w:r>
    </w:p>
    <w:p>
      <w:pPr>
        <w:spacing w:line="360" w:lineRule="auto"/>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z w:val="24"/>
          <w:u w:val="single"/>
        </w:rPr>
        <w:t>（采购人名称）</w:t>
      </w:r>
      <w:r>
        <w:rPr>
          <w:rFonts w:hint="eastAsia" w:ascii="宋体" w:hAnsi="宋体"/>
          <w:color w:val="auto"/>
          <w:sz w:val="24"/>
        </w:rPr>
        <w:t>的</w:t>
      </w:r>
      <w:r>
        <w:rPr>
          <w:rFonts w:ascii="宋体" w:hAnsi="宋体"/>
          <w:color w:val="auto"/>
          <w:sz w:val="24"/>
          <w:u w:val="single"/>
        </w:rPr>
        <w:t xml:space="preserve">          </w:t>
      </w:r>
      <w:r>
        <w:rPr>
          <w:rFonts w:hint="eastAsia" w:ascii="宋体" w:hAnsi="宋体"/>
          <w:color w:val="auto"/>
          <w:sz w:val="24"/>
        </w:rPr>
        <w:t>项目（项目编号</w:t>
      </w:r>
      <w:r>
        <w:rPr>
          <w:rFonts w:ascii="宋体" w:hAnsi="宋体"/>
          <w:color w:val="auto"/>
          <w:sz w:val="24"/>
          <w:u w:val="single"/>
        </w:rPr>
        <w:t xml:space="preserve">           </w:t>
      </w:r>
      <w:r>
        <w:rPr>
          <w:rFonts w:hint="eastAsia" w:ascii="宋体" w:hAnsi="宋体"/>
          <w:color w:val="auto"/>
          <w:sz w:val="24"/>
        </w:rPr>
        <w:t>）采购活动提供本单位制造的货物（由本单位承担工程/提供服务），或者提供其他残疾人福利性单位制造的货物（不包括使用非残疾人福利性单位注册商标的货物）。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olor w:val="auto"/>
          <w:sz w:val="24"/>
        </w:rPr>
      </w:pPr>
      <w:r>
        <w:rPr>
          <w:rFonts w:hint="eastAsia" w:ascii="宋体" w:hAnsi="宋体"/>
          <w:color w:val="auto"/>
          <w:sz w:val="24"/>
        </w:rPr>
        <w:t>本单位对上述声明的真实性负责。如有虚假，将依法承担相应责任。</w:t>
      </w:r>
    </w:p>
    <w:p>
      <w:pPr>
        <w:spacing w:line="360" w:lineRule="auto"/>
        <w:ind w:right="480" w:firstLine="5280" w:firstLineChars="2200"/>
        <w:rPr>
          <w:rFonts w:ascii="宋体" w:hAnsi="宋体"/>
          <w:color w:val="auto"/>
          <w:sz w:val="24"/>
        </w:rPr>
      </w:pPr>
      <w:r>
        <w:rPr>
          <w:rFonts w:hint="eastAsia" w:ascii="宋体" w:hAnsi="宋体"/>
          <w:color w:val="auto"/>
          <w:sz w:val="24"/>
        </w:rPr>
        <w:t>投标人公章（电子签章）：：</w:t>
      </w:r>
    </w:p>
    <w:p>
      <w:pPr>
        <w:spacing w:line="360" w:lineRule="auto"/>
        <w:ind w:right="480" w:firstLine="5280" w:firstLineChars="2200"/>
        <w:rPr>
          <w:rFonts w:ascii="宋体" w:hAnsi="宋体"/>
          <w:color w:val="auto"/>
          <w:sz w:val="24"/>
        </w:rPr>
      </w:pPr>
      <w:r>
        <w:rPr>
          <w:rFonts w:hint="eastAsia" w:ascii="宋体" w:hAnsi="宋体"/>
          <w:color w:val="auto"/>
          <w:sz w:val="24"/>
        </w:rPr>
        <w:t>日  期：</w:t>
      </w:r>
    </w:p>
    <w:p>
      <w:pPr>
        <w:spacing w:line="360" w:lineRule="auto"/>
        <w:rPr>
          <w:rFonts w:hAnsi="宋体"/>
          <w:color w:val="auto"/>
          <w:sz w:val="24"/>
        </w:rPr>
      </w:pPr>
      <w:r>
        <w:rPr>
          <w:rFonts w:hint="eastAsia" w:hAnsi="宋体"/>
          <w:color w:val="auto"/>
          <w:sz w:val="24"/>
        </w:rPr>
        <w:t>注：</w:t>
      </w:r>
    </w:p>
    <w:p>
      <w:pPr>
        <w:spacing w:line="360" w:lineRule="auto"/>
        <w:jc w:val="left"/>
        <w:rPr>
          <w:rFonts w:hAnsi="宋体"/>
          <w:color w:val="auto"/>
          <w:sz w:val="24"/>
        </w:rPr>
      </w:pPr>
      <w:r>
        <w:rPr>
          <w:rFonts w:hint="eastAsia" w:hAnsi="宋体"/>
          <w:color w:val="auto"/>
          <w:sz w:val="24"/>
        </w:rPr>
        <w:t>1、以上三种声明函/证明文件，投标人根据企业实际情况做出一种声明/证明即可，都不满足，本附件无需放在投标文件中。</w:t>
      </w:r>
    </w:p>
    <w:p>
      <w:pPr>
        <w:spacing w:line="360" w:lineRule="auto"/>
        <w:ind w:right="480"/>
        <w:rPr>
          <w:rFonts w:hint="eastAsia" w:ascii="宋体" w:hAnsi="宋体"/>
          <w:color w:val="auto"/>
          <w:sz w:val="24"/>
          <w:szCs w:val="24"/>
        </w:rPr>
      </w:pPr>
      <w:r>
        <w:rPr>
          <w:rFonts w:hAnsi="宋体"/>
          <w:color w:val="auto"/>
          <w:sz w:val="24"/>
          <w:szCs w:val="24"/>
        </w:rPr>
        <w:t>2、中标供应商为残疾人福利性单位且评审中享受了残疾人福利性单位相关政府采购支持政策的，其《残疾人福利性单位声明函》将在中标公示中公告，接受社会监督。</w:t>
      </w:r>
    </w:p>
    <w:p>
      <w:pPr>
        <w:spacing w:line="360" w:lineRule="auto"/>
        <w:ind w:right="480" w:firstLine="4698" w:firstLineChars="1950"/>
        <w:rPr>
          <w:rFonts w:hint="eastAsia" w:hAnsi="宋体"/>
          <w:b/>
          <w:color w:val="auto"/>
          <w:sz w:val="24"/>
          <w:szCs w:val="24"/>
        </w:rPr>
      </w:pPr>
    </w:p>
    <w:p>
      <w:pPr>
        <w:spacing w:line="360" w:lineRule="auto"/>
        <w:rPr>
          <w:rFonts w:hint="eastAsia"/>
          <w:color w:val="auto"/>
          <w:sz w:val="24"/>
          <w:szCs w:val="24"/>
        </w:rPr>
      </w:pPr>
      <w:r>
        <w:rPr>
          <w:rFonts w:hint="eastAsia" w:hAnsi="宋体"/>
          <w:b/>
          <w:color w:val="auto"/>
          <w:sz w:val="24"/>
          <w:szCs w:val="24"/>
        </w:rPr>
        <w:t>附件1</w:t>
      </w:r>
      <w:r>
        <w:rPr>
          <w:rFonts w:hint="eastAsia" w:hAnsi="宋体"/>
          <w:b/>
          <w:color w:val="auto"/>
          <w:sz w:val="24"/>
          <w:szCs w:val="24"/>
          <w:lang w:val="en-US" w:eastAsia="zh-CN"/>
        </w:rPr>
        <w:t>1</w:t>
      </w:r>
      <w:r>
        <w:rPr>
          <w:rFonts w:hint="eastAsia" w:hAnsi="宋体"/>
          <w:color w:val="auto"/>
          <w:sz w:val="24"/>
          <w:szCs w:val="24"/>
        </w:rPr>
        <w:t xml:space="preserve">  </w:t>
      </w:r>
      <w:r>
        <w:rPr>
          <w:rFonts w:hint="eastAsia" w:ascii="宋体" w:hAnsi="宋体"/>
          <w:color w:val="auto"/>
          <w:sz w:val="24"/>
          <w:szCs w:val="24"/>
        </w:rPr>
        <w:t>投标人认为有必要提供的其他文件</w:t>
      </w:r>
      <w:r>
        <w:rPr>
          <w:rFonts w:hint="eastAsia" w:ascii="宋体" w:hAnsi="宋体"/>
          <w:color w:val="auto"/>
          <w:sz w:val="24"/>
          <w:szCs w:val="24"/>
          <w:lang w:eastAsia="zh-CN"/>
        </w:rPr>
        <w:t>加盖</w:t>
      </w:r>
      <w:r>
        <w:rPr>
          <w:rFonts w:hint="eastAsia"/>
          <w:b/>
          <w:color w:val="auto"/>
          <w:sz w:val="24"/>
          <w:szCs w:val="24"/>
        </w:rPr>
        <w:t>投标人公章（电子签章）</w:t>
      </w:r>
    </w:p>
    <w:p>
      <w:pPr>
        <w:pStyle w:val="49"/>
        <w:numPr>
          <w:ilvl w:val="0"/>
          <w:numId w:val="0"/>
        </w:numPr>
        <w:tabs>
          <w:tab w:val="left" w:pos="660"/>
        </w:tabs>
        <w:snapToGrid w:val="0"/>
        <w:spacing w:before="0" w:line="440" w:lineRule="exact"/>
        <w:ind w:firstLine="420" w:firstLineChars="200"/>
        <w:rPr>
          <w:b w:val="0"/>
          <w:color w:val="auto"/>
          <w:szCs w:val="21"/>
        </w:rPr>
      </w:pPr>
    </w:p>
    <w:sectPr>
      <w:pgSz w:w="11907" w:h="16840"/>
      <w:pgMar w:top="1701" w:right="1588" w:bottom="1701" w:left="1417" w:header="851" w:footer="850"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宋体">
    <w:altName w:val="宋体"/>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Century Gothic">
    <w:altName w:val="Segoe Print"/>
    <w:panose1 w:val="020B0502020202020204"/>
    <w:charset w:val="00"/>
    <w:family w:val="swiss"/>
    <w:pitch w:val="default"/>
    <w:sig w:usb0="00000000" w:usb1="00000000" w:usb2="00000000" w:usb3="00000000" w:csb0="0000009F" w:csb1="00000000"/>
  </w:font>
  <w:font w:name="等线">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Aparajita">
    <w:panose1 w:val="020B0604020202020204"/>
    <w:charset w:val="00"/>
    <w:family w:val="auto"/>
    <w:pitch w:val="default"/>
    <w:sig w:usb0="00008003"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imes New Toman">
    <w:altName w:val="Traditional Arabic"/>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AFF" w:usb1="C0007843" w:usb2="00000009" w:usb3="00000000" w:csb0="400001FF" w:csb1="FFFF0000"/>
  </w:font>
  <w:font w:name="Microsoft JhengHei">
    <w:panose1 w:val="020B0604030504040204"/>
    <w:charset w:val="88"/>
    <w:family w:val="auto"/>
    <w:pitch w:val="default"/>
    <w:sig w:usb0="00000087" w:usb1="28AF4000" w:usb2="00000016" w:usb3="00000000" w:csb0="00100009" w:csb1="00000000"/>
  </w:font>
  <w:font w:name="Arial Unicode MS">
    <w:altName w:val="Arial"/>
    <w:panose1 w:val="00000000000000000000"/>
    <w:charset w:val="00"/>
    <w:family w:val="auto"/>
    <w:pitch w:val="default"/>
    <w:sig w:usb0="00000000" w:usb1="00000000" w:usb2="00000000" w:usb3="00000000" w:csb0="00000000" w:csb1="00000000"/>
  </w:font>
  <w:font w:name="Nirmala UI">
    <w:altName w:val="Segoe Print"/>
    <w:panose1 w:val="00000000000000000000"/>
    <w:charset w:val="00"/>
    <w:family w:val="auto"/>
    <w:pitch w:val="default"/>
    <w:sig w:usb0="00000000" w:usb1="00000000" w:usb2="00000000" w:usb3="00000000" w:csb0="00000000" w:csb1="00000000"/>
  </w:font>
  <w:font w:name="Leelawadee UI">
    <w:altName w:val="Leelawadee"/>
    <w:panose1 w:val="00000000000000000000"/>
    <w:charset w:val="00"/>
    <w:family w:val="auto"/>
    <w:pitch w:val="default"/>
    <w:sig w:usb0="00000000" w:usb1="00000000" w:usb2="00000000" w:usb3="00000000" w:csb0="00000000" w:csb1="00000000"/>
  </w:font>
  <w:font w:name="Leelawadee">
    <w:panose1 w:val="020B0502040204020203"/>
    <w:charset w:val="00"/>
    <w:family w:val="auto"/>
    <w:pitch w:val="default"/>
    <w:sig w:usb0="810000AF" w:usb1="4000204B" w:usb2="00000000" w:usb3="00000000" w:csb0="20010001" w:csb1="00000000"/>
  </w:font>
  <w:font w:name="Traditional Arabic">
    <w:panose1 w:val="02020603050405020304"/>
    <w:charset w:val="00"/>
    <w:family w:val="auto"/>
    <w:pitch w:val="default"/>
    <w:sig w:usb0="00006003" w:usb1="80000000" w:usb2="00000008" w:usb3="00000000" w:csb0="00000041" w:csb1="20080000"/>
  </w:font>
  <w:font w:name="Cambria Math">
    <w:panose1 w:val="02040503050406030204"/>
    <w:charset w:val="00"/>
    <w:family w:val="roman"/>
    <w:pitch w:val="default"/>
    <w:sig w:usb0="E00002FF" w:usb1="420024FF" w:usb2="00000000" w:usb3="00000000" w:csb0="2000019F" w:csb1="00000000"/>
  </w:font>
  <w:font w:name="瀹嬩綋">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time">
    <w:altName w:val="微软雅黑"/>
    <w:panose1 w:val="00000000000000000000"/>
    <w:charset w:val="00"/>
    <w:family w:val="auto"/>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Helvetica">
    <w:altName w:val="Arial"/>
    <w:panose1 w:val="020B0604020202020204"/>
    <w:charset w:val="00"/>
    <w:family w:val="swiss"/>
    <w:pitch w:val="default"/>
    <w:sig w:usb0="00000000" w:usb1="00000000" w:usb2="00000009" w:usb3="00000000" w:csb0="000001FF" w:csb1="00000000"/>
  </w:font>
  <w:font w:name="KaiTi_GB2312">
    <w:altName w:val="楷体"/>
    <w:panose1 w:val="02010609030101010101"/>
    <w:charset w:val="86"/>
    <w:family w:val="modern"/>
    <w:pitch w:val="default"/>
    <w:sig w:usb0="00000000" w:usb1="00000000" w:usb2="00000000" w:usb3="00000000" w:csb0="00040000" w:csb1="00000000"/>
  </w:font>
  <w:font w:name="FangSong_GB2312">
    <w:altName w:val="仿宋"/>
    <w:panose1 w:val="00000000000000000000"/>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Tw Cen MT">
    <w:altName w:val="Segoe Print"/>
    <w:panose1 w:val="00000000000000000000"/>
    <w:charset w:val="00"/>
    <w:family w:val="swiss"/>
    <w:pitch w:val="default"/>
    <w:sig w:usb0="00000000" w:usb1="00000000" w:usb2="00000000" w:usb3="00000000" w:csb0="00000003" w:csb1="00000000"/>
  </w:font>
  <w:font w:name="DengXian">
    <w:altName w:val="宋体"/>
    <w:panose1 w:val="02010600030101010101"/>
    <w:charset w:val="86"/>
    <w:family w:val="auto"/>
    <w:pitch w:val="default"/>
    <w:sig w:usb0="00000000" w:usb1="00000000" w:usb2="00000016" w:usb3="00000000" w:csb0="0004000F" w:csb1="00000000"/>
  </w:font>
  <w:font w:name="DengXian Light">
    <w:altName w:val="宋体"/>
    <w:panose1 w:val="00000000000000000000"/>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2"/>
      <w:rPr>
        <w:rStyle w:val="27"/>
      </w:rPr>
    </w:pPr>
    <w:r>
      <w:fldChar w:fldCharType="begin"/>
    </w:r>
    <w:r>
      <w:rPr>
        <w:rStyle w:val="27"/>
      </w:rPr>
      <w:instrText xml:space="preserve">PAGE  </w:instrText>
    </w:r>
    <w:r>
      <w:fldChar w:fldCharType="separate"/>
    </w:r>
    <w:r>
      <w:rPr>
        <w:rStyle w:val="27"/>
      </w:rPr>
      <w:t>7</w:t>
    </w:r>
    <w:r>
      <w:fldChar w:fldCharType="end"/>
    </w:r>
  </w:p>
  <w:p>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2"/>
      <w:rPr>
        <w:rStyle w:val="27"/>
      </w:rPr>
    </w:pPr>
    <w:r>
      <w:fldChar w:fldCharType="begin"/>
    </w:r>
    <w:r>
      <w:rPr>
        <w:rStyle w:val="27"/>
      </w:rPr>
      <w:instrText xml:space="preserve">PAGE  </w:instrText>
    </w:r>
    <w:r>
      <w:fldChar w:fldCharType="separate"/>
    </w:r>
    <w:r>
      <w:rPr>
        <w:rStyle w:val="27"/>
      </w:rPr>
      <w:t>7</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Align="top"/>
    </w:pPr>
  </w:p>
  <w:p>
    <w:pPr>
      <w:pStyle w:val="15"/>
      <w:ind w:right="36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60</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北京市</w:t>
    </w:r>
    <w:r>
      <w:rPr>
        <w:rFonts w:hint="eastAsia"/>
        <w:lang w:eastAsia="zh-CN"/>
      </w:rPr>
      <w:t>石景山区</w:t>
    </w:r>
    <w:r>
      <w:rPr>
        <w:rFonts w:hint="eastAsia"/>
      </w:rPr>
      <w:t>政府采购中心招标文件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rPr>
        <w:rFonts w:hint="eastAsia"/>
      </w:rPr>
      <w:t>北京市</w:t>
    </w:r>
    <w:r>
      <w:rPr>
        <w:rFonts w:hint="eastAsia"/>
        <w:lang w:eastAsia="zh-CN"/>
      </w:rPr>
      <w:t>石景山区</w:t>
    </w:r>
    <w:r>
      <w:rPr>
        <w:rFonts w:hint="eastAsia"/>
      </w:rPr>
      <w:t>政府采购中心招标文件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EE5DD4"/>
    <w:multiLevelType w:val="singleLevel"/>
    <w:tmpl w:val="9AEE5DD4"/>
    <w:lvl w:ilvl="0" w:tentative="0">
      <w:start w:val="1"/>
      <w:numFmt w:val="decimal"/>
      <w:suff w:val="nothing"/>
      <w:lvlText w:val="%1、"/>
      <w:lvlJc w:val="left"/>
    </w:lvl>
  </w:abstractNum>
  <w:abstractNum w:abstractNumId="1">
    <w:nsid w:val="CC893268"/>
    <w:multiLevelType w:val="singleLevel"/>
    <w:tmpl w:val="CC893268"/>
    <w:lvl w:ilvl="0" w:tentative="0">
      <w:start w:val="1"/>
      <w:numFmt w:val="decimal"/>
      <w:suff w:val="nothing"/>
      <w:lvlText w:val="%1、"/>
      <w:lvlJc w:val="left"/>
    </w:lvl>
  </w:abstractNum>
  <w:abstractNum w:abstractNumId="2">
    <w:nsid w:val="E62977CF"/>
    <w:multiLevelType w:val="singleLevel"/>
    <w:tmpl w:val="E62977CF"/>
    <w:lvl w:ilvl="0" w:tentative="0">
      <w:start w:val="4"/>
      <w:numFmt w:val="decimal"/>
      <w:suff w:val="nothing"/>
      <w:lvlText w:val="%1、"/>
      <w:lvlJc w:val="left"/>
    </w:lvl>
  </w:abstractNum>
  <w:abstractNum w:abstractNumId="3">
    <w:nsid w:val="F41C0F37"/>
    <w:multiLevelType w:val="singleLevel"/>
    <w:tmpl w:val="F41C0F37"/>
    <w:lvl w:ilvl="0" w:tentative="0">
      <w:start w:val="1"/>
      <w:numFmt w:val="decimal"/>
      <w:suff w:val="nothing"/>
      <w:lvlText w:val="%1、"/>
      <w:lvlJc w:val="left"/>
    </w:lvl>
  </w:abstractNum>
  <w:abstractNum w:abstractNumId="4">
    <w:nsid w:val="00000001"/>
    <w:multiLevelType w:val="multilevel"/>
    <w:tmpl w:val="00000001"/>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5">
    <w:nsid w:val="00000006"/>
    <w:multiLevelType w:val="multilevel"/>
    <w:tmpl w:val="00000006"/>
    <w:lvl w:ilvl="0" w:tentative="0">
      <w:start w:val="1"/>
      <w:numFmt w:val="chineseCountingThousand"/>
      <w:pStyle w:val="48"/>
      <w:suff w:val="nothing"/>
      <w:lvlText w:val="第%1部分"/>
      <w:lvlJc w:val="center"/>
      <w:pPr>
        <w:ind w:left="5666" w:firstLine="288"/>
      </w:pPr>
      <w:rPr>
        <w:rFonts w:hint="eastAsia"/>
        <w:sz w:val="28"/>
        <w:szCs w:val="28"/>
      </w:rPr>
    </w:lvl>
    <w:lvl w:ilvl="1" w:tentative="0">
      <w:start w:val="1"/>
      <w:numFmt w:val="chineseCountingThousand"/>
      <w:pStyle w:val="4"/>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0000000B"/>
    <w:multiLevelType w:val="multilevel"/>
    <w:tmpl w:val="0000000B"/>
    <w:lvl w:ilvl="0" w:tentative="0">
      <w:start w:val="1"/>
      <w:numFmt w:val="bullet"/>
      <w:pStyle w:val="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69"/>
      <w:lvlText w:val=""/>
      <w:lvlJc w:val="left"/>
      <w:pPr>
        <w:tabs>
          <w:tab w:val="left" w:pos="3780"/>
        </w:tabs>
        <w:ind w:left="3780" w:hanging="420"/>
      </w:pPr>
      <w:rPr>
        <w:rFonts w:hint="default" w:ascii="Wingdings" w:hAnsi="Wingdings"/>
      </w:rPr>
    </w:lvl>
  </w:abstractNum>
  <w:abstractNum w:abstractNumId="7">
    <w:nsid w:val="0000000D"/>
    <w:multiLevelType w:val="multilevel"/>
    <w:tmpl w:val="0000000D"/>
    <w:lvl w:ilvl="0" w:tentative="0">
      <w:start w:val="1"/>
      <w:numFmt w:val="decimal"/>
      <w:lvlText w:val="%1."/>
      <w:lvlJc w:val="left"/>
      <w:pPr>
        <w:tabs>
          <w:tab w:val="left" w:pos="900"/>
        </w:tabs>
        <w:ind w:left="900" w:hanging="48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14"/>
    <w:multiLevelType w:val="multilevel"/>
    <w:tmpl w:val="00000014"/>
    <w:lvl w:ilvl="0" w:tentative="0">
      <w:start w:val="1"/>
      <w:numFmt w:val="decimal"/>
      <w:pStyle w:val="5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22"/>
    <w:multiLevelType w:val="multilevel"/>
    <w:tmpl w:val="00000022"/>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1320"/>
        </w:tabs>
        <w:ind w:left="1320" w:hanging="420"/>
      </w:pPr>
      <w:rPr>
        <w:rFonts w:hint="default"/>
        <w:u w:val="none"/>
      </w:rPr>
    </w:lvl>
    <w:lvl w:ilvl="2" w:tentative="0">
      <w:start w:val="17"/>
      <w:numFmt w:val="decimal"/>
      <w:lvlText w:val="%3"/>
      <w:lvlJc w:val="left"/>
      <w:pPr>
        <w:tabs>
          <w:tab w:val="left" w:pos="1680"/>
        </w:tabs>
        <w:ind w:left="1680" w:hanging="360"/>
      </w:pPr>
      <w:rPr>
        <w:rFonts w:hint="default" w:ascii="Times New Roman" w:hAnsi="Times New Roman" w:eastAsia="宋体"/>
        <w:u w:val="none"/>
      </w:rPr>
    </w:lvl>
    <w:lvl w:ilvl="3" w:tentative="0">
      <w:start w:val="1"/>
      <w:numFmt w:val="decimal"/>
      <w:lvlText w:val="%4."/>
      <w:lvlJc w:val="left"/>
      <w:pPr>
        <w:tabs>
          <w:tab w:val="left" w:pos="2160"/>
        </w:tabs>
        <w:ind w:left="2160" w:hanging="420"/>
      </w:pPr>
      <w:rPr>
        <w:rFonts w:hint="default"/>
        <w:u w:val="none"/>
      </w:rPr>
    </w:lvl>
    <w:lvl w:ilvl="4" w:tentative="0">
      <w:start w:val="1"/>
      <w:numFmt w:val="lowerLetter"/>
      <w:lvlText w:val="%5)"/>
      <w:lvlJc w:val="left"/>
      <w:pPr>
        <w:tabs>
          <w:tab w:val="left" w:pos="2580"/>
        </w:tabs>
        <w:ind w:left="2580" w:hanging="420"/>
      </w:pPr>
      <w:rPr>
        <w:rFonts w:hint="default"/>
        <w:u w:val="none"/>
      </w:rPr>
    </w:lvl>
    <w:lvl w:ilvl="5" w:tentative="0">
      <w:start w:val="1"/>
      <w:numFmt w:val="lowerRoman"/>
      <w:lvlText w:val="%6."/>
      <w:lvlJc w:val="right"/>
      <w:pPr>
        <w:tabs>
          <w:tab w:val="left" w:pos="3000"/>
        </w:tabs>
        <w:ind w:left="3000" w:hanging="420"/>
      </w:pPr>
      <w:rPr>
        <w:rFonts w:hint="default"/>
        <w:u w:val="none"/>
      </w:rPr>
    </w:lvl>
    <w:lvl w:ilvl="6" w:tentative="0">
      <w:start w:val="1"/>
      <w:numFmt w:val="decimal"/>
      <w:lvlText w:val="%7."/>
      <w:lvlJc w:val="left"/>
      <w:pPr>
        <w:tabs>
          <w:tab w:val="left" w:pos="3420"/>
        </w:tabs>
        <w:ind w:left="3420" w:hanging="420"/>
      </w:pPr>
      <w:rPr>
        <w:rFonts w:hint="default"/>
        <w:u w:val="none"/>
      </w:rPr>
    </w:lvl>
    <w:lvl w:ilvl="7" w:tentative="0">
      <w:start w:val="1"/>
      <w:numFmt w:val="lowerLetter"/>
      <w:lvlText w:val="%8)"/>
      <w:lvlJc w:val="left"/>
      <w:pPr>
        <w:tabs>
          <w:tab w:val="left" w:pos="3840"/>
        </w:tabs>
        <w:ind w:left="3840" w:hanging="420"/>
      </w:pPr>
      <w:rPr>
        <w:rFonts w:hint="default"/>
        <w:u w:val="none"/>
      </w:rPr>
    </w:lvl>
    <w:lvl w:ilvl="8" w:tentative="0">
      <w:start w:val="1"/>
      <w:numFmt w:val="lowerRoman"/>
      <w:lvlText w:val="%9."/>
      <w:lvlJc w:val="right"/>
      <w:pPr>
        <w:tabs>
          <w:tab w:val="left" w:pos="4260"/>
        </w:tabs>
        <w:ind w:left="4260" w:hanging="420"/>
      </w:pPr>
      <w:rPr>
        <w:rFonts w:hint="default"/>
        <w:u w:val="none"/>
      </w:rPr>
    </w:lvl>
  </w:abstractNum>
  <w:abstractNum w:abstractNumId="10">
    <w:nsid w:val="0C6D3E1B"/>
    <w:multiLevelType w:val="singleLevel"/>
    <w:tmpl w:val="0C6D3E1B"/>
    <w:lvl w:ilvl="0" w:tentative="0">
      <w:start w:val="1"/>
      <w:numFmt w:val="decimal"/>
      <w:suff w:val="nothing"/>
      <w:lvlText w:val="%1、"/>
      <w:lvlJc w:val="left"/>
    </w:lvl>
  </w:abstractNum>
  <w:abstractNum w:abstractNumId="11">
    <w:nsid w:val="0F125F58"/>
    <w:multiLevelType w:val="multilevel"/>
    <w:tmpl w:val="0F125F58"/>
    <w:lvl w:ilvl="0" w:tentative="0">
      <w:start w:val="1"/>
      <w:numFmt w:val="chineseCountingThousand"/>
      <w:suff w:val="nothing"/>
      <w:lvlText w:val="%1、"/>
      <w:lvlJc w:val="left"/>
      <w:pPr>
        <w:ind w:left="-493" w:firstLine="635"/>
      </w:pPr>
      <w:rPr>
        <w:rFonts w:hint="eastAsia"/>
      </w:rPr>
    </w:lvl>
    <w:lvl w:ilvl="1" w:tentative="0">
      <w:start w:val="1"/>
      <w:numFmt w:val="chineseCountingThousand"/>
      <w:pStyle w:val="23"/>
      <w:suff w:val="nothing"/>
      <w:lvlText w:val="（%2）"/>
      <w:lvlJc w:val="left"/>
      <w:pPr>
        <w:ind w:left="734" w:firstLine="400"/>
      </w:pPr>
      <w:rPr>
        <w:rFonts w:hint="eastAsia"/>
      </w:rPr>
    </w:lvl>
    <w:lvl w:ilvl="2" w:tentative="0">
      <w:start w:val="1"/>
      <w:numFmt w:val="decimal"/>
      <w:suff w:val="nothing"/>
      <w:lvlText w:val="%3."/>
      <w:lvlJc w:val="left"/>
      <w:pPr>
        <w:ind w:left="0" w:firstLine="635"/>
      </w:pPr>
      <w:rPr>
        <w:rFonts w:hint="eastAsia"/>
      </w:rPr>
    </w:lvl>
    <w:lvl w:ilvl="3" w:tentative="0">
      <w:start w:val="1"/>
      <w:numFmt w:val="decimal"/>
      <w:suff w:val="nothing"/>
      <w:lvlText w:val="（%4）"/>
      <w:lvlJc w:val="left"/>
      <w:pPr>
        <w:ind w:left="0" w:firstLine="635"/>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12D809B2"/>
    <w:multiLevelType w:val="multilevel"/>
    <w:tmpl w:val="12D809B2"/>
    <w:lvl w:ilvl="0" w:tentative="0">
      <w:start w:val="1"/>
      <w:numFmt w:val="chineseCountingThousand"/>
      <w:lvlText w:val="%1、"/>
      <w:lvlJc w:val="left"/>
      <w:pPr>
        <w:ind w:left="420" w:hanging="420"/>
      </w:pPr>
      <w:rPr>
        <w:rFonts w:hint="eastAsia"/>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2001054"/>
    <w:multiLevelType w:val="multilevel"/>
    <w:tmpl w:val="22001054"/>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14">
    <w:nsid w:val="262F1723"/>
    <w:multiLevelType w:val="multilevel"/>
    <w:tmpl w:val="262F1723"/>
    <w:lvl w:ilvl="0" w:tentative="0">
      <w:start w:val="1"/>
      <w:numFmt w:val="chineseCountingThousand"/>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7C82EE6"/>
    <w:multiLevelType w:val="multilevel"/>
    <w:tmpl w:val="37C82EE6"/>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17">
    <w:nsid w:val="4C5A65F0"/>
    <w:multiLevelType w:val="multilevel"/>
    <w:tmpl w:val="4C5A65F0"/>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18">
    <w:nsid w:val="4D6E43DC"/>
    <w:multiLevelType w:val="multilevel"/>
    <w:tmpl w:val="4D6E43D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4A92EEE"/>
    <w:multiLevelType w:val="multilevel"/>
    <w:tmpl w:val="54A92EEE"/>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0">
    <w:nsid w:val="5E675925"/>
    <w:multiLevelType w:val="multilevel"/>
    <w:tmpl w:val="5E675925"/>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1">
    <w:nsid w:val="5FD1DD5E"/>
    <w:multiLevelType w:val="singleLevel"/>
    <w:tmpl w:val="5FD1DD5E"/>
    <w:lvl w:ilvl="0" w:tentative="0">
      <w:start w:val="2"/>
      <w:numFmt w:val="chineseCounting"/>
      <w:suff w:val="nothing"/>
      <w:lvlText w:val="%1、"/>
      <w:lvlJc w:val="left"/>
    </w:lvl>
  </w:abstractNum>
  <w:abstractNum w:abstractNumId="22">
    <w:nsid w:val="603A4D50"/>
    <w:multiLevelType w:val="multilevel"/>
    <w:tmpl w:val="603A4D50"/>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3">
    <w:nsid w:val="60D2DDBF"/>
    <w:multiLevelType w:val="singleLevel"/>
    <w:tmpl w:val="60D2DDBF"/>
    <w:lvl w:ilvl="0" w:tentative="0">
      <w:start w:val="1"/>
      <w:numFmt w:val="chineseCounting"/>
      <w:suff w:val="nothing"/>
      <w:lvlText w:val="%1、"/>
      <w:lvlJc w:val="left"/>
    </w:lvl>
  </w:abstractNum>
  <w:abstractNum w:abstractNumId="24">
    <w:nsid w:val="64DB4281"/>
    <w:multiLevelType w:val="singleLevel"/>
    <w:tmpl w:val="64DB4281"/>
    <w:lvl w:ilvl="0" w:tentative="0">
      <w:start w:val="2"/>
      <w:numFmt w:val="chineseCounting"/>
      <w:suff w:val="nothing"/>
      <w:lvlText w:val="%1、"/>
      <w:lvlJc w:val="left"/>
    </w:lvl>
  </w:abstractNum>
  <w:abstractNum w:abstractNumId="25">
    <w:nsid w:val="66D67805"/>
    <w:multiLevelType w:val="multilevel"/>
    <w:tmpl w:val="66D67805"/>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6">
    <w:nsid w:val="67088140"/>
    <w:multiLevelType w:val="singleLevel"/>
    <w:tmpl w:val="67088140"/>
    <w:lvl w:ilvl="0" w:tentative="0">
      <w:start w:val="1"/>
      <w:numFmt w:val="chineseCounting"/>
      <w:suff w:val="nothing"/>
      <w:lvlText w:val="%1、"/>
      <w:lvlJc w:val="left"/>
    </w:lvl>
  </w:abstractNum>
  <w:num w:numId="1">
    <w:abstractNumId w:val="5"/>
  </w:num>
  <w:num w:numId="2">
    <w:abstractNumId w:val="11"/>
  </w:num>
  <w:num w:numId="3">
    <w:abstractNumId w:val="8"/>
  </w:num>
  <w:num w:numId="4">
    <w:abstractNumId w:val="6"/>
  </w:num>
  <w:num w:numId="5">
    <w:abstractNumId w:val="14"/>
  </w:num>
  <w:num w:numId="6">
    <w:abstractNumId w:val="12"/>
  </w:num>
  <w:num w:numId="7">
    <w:abstractNumId w:val="9"/>
  </w:num>
  <w:num w:numId="8">
    <w:abstractNumId w:val="4"/>
  </w:num>
  <w:num w:numId="9">
    <w:abstractNumId w:val="19"/>
  </w:num>
  <w:num w:numId="10">
    <w:abstractNumId w:val="13"/>
  </w:num>
  <w:num w:numId="11">
    <w:abstractNumId w:val="20"/>
  </w:num>
  <w:num w:numId="12">
    <w:abstractNumId w:val="16"/>
  </w:num>
  <w:num w:numId="13">
    <w:abstractNumId w:val="25"/>
  </w:num>
  <w:num w:numId="14">
    <w:abstractNumId w:val="17"/>
  </w:num>
  <w:num w:numId="15">
    <w:abstractNumId w:val="22"/>
  </w:num>
  <w:num w:numId="16">
    <w:abstractNumId w:val="26"/>
  </w:num>
  <w:num w:numId="17">
    <w:abstractNumId w:val="1"/>
  </w:num>
  <w:num w:numId="18">
    <w:abstractNumId w:val="3"/>
  </w:num>
  <w:num w:numId="19">
    <w:abstractNumId w:val="2"/>
  </w:num>
  <w:num w:numId="20">
    <w:abstractNumId w:val="10"/>
  </w:num>
  <w:num w:numId="21">
    <w:abstractNumId w:val="0"/>
  </w:num>
  <w:num w:numId="22">
    <w:abstractNumId w:val="24"/>
  </w:num>
  <w:num w:numId="23">
    <w:abstractNumId w:val="23"/>
  </w:num>
  <w:num w:numId="24">
    <w:abstractNumId w:val="7"/>
  </w:num>
  <w:num w:numId="25">
    <w:abstractNumId w:val="21"/>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3MDQyNzI5MmMxNjBmZDQyOGVkZTVkNmJmNzE3ZmUifQ=="/>
  </w:docVars>
  <w:rsids>
    <w:rsidRoot w:val="7C8974D7"/>
    <w:rsid w:val="000034AB"/>
    <w:rsid w:val="000042ED"/>
    <w:rsid w:val="000102EC"/>
    <w:rsid w:val="000104FD"/>
    <w:rsid w:val="00013828"/>
    <w:rsid w:val="00015049"/>
    <w:rsid w:val="00015251"/>
    <w:rsid w:val="00016136"/>
    <w:rsid w:val="00016509"/>
    <w:rsid w:val="00020D67"/>
    <w:rsid w:val="000236B1"/>
    <w:rsid w:val="0002631A"/>
    <w:rsid w:val="000264BC"/>
    <w:rsid w:val="00027104"/>
    <w:rsid w:val="00033657"/>
    <w:rsid w:val="0003660B"/>
    <w:rsid w:val="00036C42"/>
    <w:rsid w:val="000400B0"/>
    <w:rsid w:val="00045A8A"/>
    <w:rsid w:val="00051381"/>
    <w:rsid w:val="00051FB2"/>
    <w:rsid w:val="0006462B"/>
    <w:rsid w:val="00065455"/>
    <w:rsid w:val="00065D19"/>
    <w:rsid w:val="00066BB3"/>
    <w:rsid w:val="00070EED"/>
    <w:rsid w:val="000766E4"/>
    <w:rsid w:val="000774C4"/>
    <w:rsid w:val="00083E03"/>
    <w:rsid w:val="00085CD3"/>
    <w:rsid w:val="000862F9"/>
    <w:rsid w:val="00090CF9"/>
    <w:rsid w:val="000916E6"/>
    <w:rsid w:val="00093177"/>
    <w:rsid w:val="0009561C"/>
    <w:rsid w:val="0009711C"/>
    <w:rsid w:val="000972B5"/>
    <w:rsid w:val="000A4480"/>
    <w:rsid w:val="000A57E9"/>
    <w:rsid w:val="000A7624"/>
    <w:rsid w:val="000A77DC"/>
    <w:rsid w:val="000B003B"/>
    <w:rsid w:val="000B1F97"/>
    <w:rsid w:val="000B2A63"/>
    <w:rsid w:val="000B341B"/>
    <w:rsid w:val="000B6607"/>
    <w:rsid w:val="000B731E"/>
    <w:rsid w:val="000C3AB6"/>
    <w:rsid w:val="000C4893"/>
    <w:rsid w:val="000D0CF4"/>
    <w:rsid w:val="000D5286"/>
    <w:rsid w:val="000D547B"/>
    <w:rsid w:val="000E2A3F"/>
    <w:rsid w:val="000E43B3"/>
    <w:rsid w:val="000E4E80"/>
    <w:rsid w:val="000E5AC8"/>
    <w:rsid w:val="000E6A63"/>
    <w:rsid w:val="000E716D"/>
    <w:rsid w:val="000F1D8B"/>
    <w:rsid w:val="000F2BB9"/>
    <w:rsid w:val="000F7D18"/>
    <w:rsid w:val="00101F9A"/>
    <w:rsid w:val="00105E77"/>
    <w:rsid w:val="00105FDF"/>
    <w:rsid w:val="00110781"/>
    <w:rsid w:val="001126D4"/>
    <w:rsid w:val="00113942"/>
    <w:rsid w:val="00113B19"/>
    <w:rsid w:val="00125040"/>
    <w:rsid w:val="001276C3"/>
    <w:rsid w:val="00133469"/>
    <w:rsid w:val="00134970"/>
    <w:rsid w:val="00136F1E"/>
    <w:rsid w:val="00136F4B"/>
    <w:rsid w:val="00137038"/>
    <w:rsid w:val="0013734C"/>
    <w:rsid w:val="001378F3"/>
    <w:rsid w:val="001405C0"/>
    <w:rsid w:val="0014158D"/>
    <w:rsid w:val="00144F1D"/>
    <w:rsid w:val="0014554F"/>
    <w:rsid w:val="0014648A"/>
    <w:rsid w:val="00150A4A"/>
    <w:rsid w:val="00153D0E"/>
    <w:rsid w:val="00157410"/>
    <w:rsid w:val="001603CB"/>
    <w:rsid w:val="001608E5"/>
    <w:rsid w:val="00161102"/>
    <w:rsid w:val="00165CDD"/>
    <w:rsid w:val="0016693A"/>
    <w:rsid w:val="00170E2A"/>
    <w:rsid w:val="0017192C"/>
    <w:rsid w:val="00172804"/>
    <w:rsid w:val="00174295"/>
    <w:rsid w:val="0017556D"/>
    <w:rsid w:val="00180466"/>
    <w:rsid w:val="00181792"/>
    <w:rsid w:val="00187646"/>
    <w:rsid w:val="0019049E"/>
    <w:rsid w:val="00193112"/>
    <w:rsid w:val="00195B9D"/>
    <w:rsid w:val="0019626B"/>
    <w:rsid w:val="0019643A"/>
    <w:rsid w:val="001A1C52"/>
    <w:rsid w:val="001A2191"/>
    <w:rsid w:val="001A4B20"/>
    <w:rsid w:val="001A6DED"/>
    <w:rsid w:val="001A74BB"/>
    <w:rsid w:val="001B0009"/>
    <w:rsid w:val="001B20D7"/>
    <w:rsid w:val="001B6D33"/>
    <w:rsid w:val="001C0D78"/>
    <w:rsid w:val="001C2978"/>
    <w:rsid w:val="001C2D51"/>
    <w:rsid w:val="001C30A7"/>
    <w:rsid w:val="001C3114"/>
    <w:rsid w:val="001C4CA3"/>
    <w:rsid w:val="001C4D1C"/>
    <w:rsid w:val="001D05CA"/>
    <w:rsid w:val="001D25F9"/>
    <w:rsid w:val="001D2ECA"/>
    <w:rsid w:val="001D4486"/>
    <w:rsid w:val="001D4BA6"/>
    <w:rsid w:val="001D5208"/>
    <w:rsid w:val="001E51F3"/>
    <w:rsid w:val="001E52DD"/>
    <w:rsid w:val="001E6C76"/>
    <w:rsid w:val="001F2680"/>
    <w:rsid w:val="001F2D33"/>
    <w:rsid w:val="001F5C44"/>
    <w:rsid w:val="00202C9E"/>
    <w:rsid w:val="00205EB1"/>
    <w:rsid w:val="00207CEF"/>
    <w:rsid w:val="002121B2"/>
    <w:rsid w:val="00213E06"/>
    <w:rsid w:val="00214413"/>
    <w:rsid w:val="0021448E"/>
    <w:rsid w:val="0021726A"/>
    <w:rsid w:val="00220F24"/>
    <w:rsid w:val="00220F7B"/>
    <w:rsid w:val="00223768"/>
    <w:rsid w:val="00224C15"/>
    <w:rsid w:val="00225A45"/>
    <w:rsid w:val="002270B1"/>
    <w:rsid w:val="00227400"/>
    <w:rsid w:val="00231495"/>
    <w:rsid w:val="00231783"/>
    <w:rsid w:val="00232113"/>
    <w:rsid w:val="00233101"/>
    <w:rsid w:val="00237C0D"/>
    <w:rsid w:val="00240DCB"/>
    <w:rsid w:val="00242035"/>
    <w:rsid w:val="0024219D"/>
    <w:rsid w:val="00242888"/>
    <w:rsid w:val="00242DA5"/>
    <w:rsid w:val="00245662"/>
    <w:rsid w:val="002469DC"/>
    <w:rsid w:val="00247AAA"/>
    <w:rsid w:val="0025013C"/>
    <w:rsid w:val="00252491"/>
    <w:rsid w:val="00253061"/>
    <w:rsid w:val="002605D2"/>
    <w:rsid w:val="00260932"/>
    <w:rsid w:val="00260BCF"/>
    <w:rsid w:val="00260E0B"/>
    <w:rsid w:val="00263A17"/>
    <w:rsid w:val="002641AD"/>
    <w:rsid w:val="00274569"/>
    <w:rsid w:val="002749F5"/>
    <w:rsid w:val="002773CE"/>
    <w:rsid w:val="00277FD2"/>
    <w:rsid w:val="002825AD"/>
    <w:rsid w:val="002825AE"/>
    <w:rsid w:val="00282A12"/>
    <w:rsid w:val="002830D8"/>
    <w:rsid w:val="00283F21"/>
    <w:rsid w:val="0028524D"/>
    <w:rsid w:val="00285849"/>
    <w:rsid w:val="00292902"/>
    <w:rsid w:val="002931B1"/>
    <w:rsid w:val="0029404E"/>
    <w:rsid w:val="002A0DBF"/>
    <w:rsid w:val="002A19CD"/>
    <w:rsid w:val="002A7DDC"/>
    <w:rsid w:val="002B0C5B"/>
    <w:rsid w:val="002B23BD"/>
    <w:rsid w:val="002B306A"/>
    <w:rsid w:val="002B3166"/>
    <w:rsid w:val="002B3358"/>
    <w:rsid w:val="002B477B"/>
    <w:rsid w:val="002B6B13"/>
    <w:rsid w:val="002B6EBC"/>
    <w:rsid w:val="002C0EB4"/>
    <w:rsid w:val="002C0F36"/>
    <w:rsid w:val="002C3165"/>
    <w:rsid w:val="002C3C35"/>
    <w:rsid w:val="002C6CD8"/>
    <w:rsid w:val="002C71BC"/>
    <w:rsid w:val="002D31B5"/>
    <w:rsid w:val="002D35BF"/>
    <w:rsid w:val="002D39F4"/>
    <w:rsid w:val="002D593D"/>
    <w:rsid w:val="002D5F8A"/>
    <w:rsid w:val="002D6F27"/>
    <w:rsid w:val="002D7734"/>
    <w:rsid w:val="002E1783"/>
    <w:rsid w:val="002E3459"/>
    <w:rsid w:val="002E3D2B"/>
    <w:rsid w:val="002F2BC5"/>
    <w:rsid w:val="002F37D8"/>
    <w:rsid w:val="002F3F61"/>
    <w:rsid w:val="003027D1"/>
    <w:rsid w:val="00314442"/>
    <w:rsid w:val="00314ADD"/>
    <w:rsid w:val="00314C8C"/>
    <w:rsid w:val="003152FB"/>
    <w:rsid w:val="003201CB"/>
    <w:rsid w:val="0032148A"/>
    <w:rsid w:val="0032421F"/>
    <w:rsid w:val="00330B60"/>
    <w:rsid w:val="00331D81"/>
    <w:rsid w:val="00342982"/>
    <w:rsid w:val="003431DC"/>
    <w:rsid w:val="00344A1B"/>
    <w:rsid w:val="00350A9F"/>
    <w:rsid w:val="003533D0"/>
    <w:rsid w:val="00367D54"/>
    <w:rsid w:val="00372744"/>
    <w:rsid w:val="0038086E"/>
    <w:rsid w:val="00383AF7"/>
    <w:rsid w:val="00396952"/>
    <w:rsid w:val="003A02D9"/>
    <w:rsid w:val="003A30C6"/>
    <w:rsid w:val="003A370B"/>
    <w:rsid w:val="003A605E"/>
    <w:rsid w:val="003A76FA"/>
    <w:rsid w:val="003B0B92"/>
    <w:rsid w:val="003B254B"/>
    <w:rsid w:val="003B39FB"/>
    <w:rsid w:val="003B4407"/>
    <w:rsid w:val="003B4B4E"/>
    <w:rsid w:val="003C12CD"/>
    <w:rsid w:val="003C275F"/>
    <w:rsid w:val="003C3F6F"/>
    <w:rsid w:val="003C5292"/>
    <w:rsid w:val="003C53D7"/>
    <w:rsid w:val="003C671A"/>
    <w:rsid w:val="003D0359"/>
    <w:rsid w:val="003D1D97"/>
    <w:rsid w:val="003D37D7"/>
    <w:rsid w:val="003D3E5F"/>
    <w:rsid w:val="003D4694"/>
    <w:rsid w:val="003D4C22"/>
    <w:rsid w:val="003E4D89"/>
    <w:rsid w:val="003E648B"/>
    <w:rsid w:val="003E715C"/>
    <w:rsid w:val="003F0825"/>
    <w:rsid w:val="003F52C4"/>
    <w:rsid w:val="003F66FE"/>
    <w:rsid w:val="003F6748"/>
    <w:rsid w:val="003F7496"/>
    <w:rsid w:val="00401A83"/>
    <w:rsid w:val="00403598"/>
    <w:rsid w:val="00405A78"/>
    <w:rsid w:val="00413208"/>
    <w:rsid w:val="004138F5"/>
    <w:rsid w:val="004232E7"/>
    <w:rsid w:val="004242F6"/>
    <w:rsid w:val="004259C7"/>
    <w:rsid w:val="004269EC"/>
    <w:rsid w:val="0043116E"/>
    <w:rsid w:val="00435215"/>
    <w:rsid w:val="00436068"/>
    <w:rsid w:val="00436BF7"/>
    <w:rsid w:val="00437AA9"/>
    <w:rsid w:val="004401CC"/>
    <w:rsid w:val="00440A27"/>
    <w:rsid w:val="00442391"/>
    <w:rsid w:val="00446C0A"/>
    <w:rsid w:val="004532C0"/>
    <w:rsid w:val="00454A8C"/>
    <w:rsid w:val="004629EB"/>
    <w:rsid w:val="00462B90"/>
    <w:rsid w:val="004665B4"/>
    <w:rsid w:val="00471A82"/>
    <w:rsid w:val="00471B29"/>
    <w:rsid w:val="004724A7"/>
    <w:rsid w:val="004761DA"/>
    <w:rsid w:val="004770AC"/>
    <w:rsid w:val="00477E26"/>
    <w:rsid w:val="004810C1"/>
    <w:rsid w:val="0048341F"/>
    <w:rsid w:val="00483766"/>
    <w:rsid w:val="004840BB"/>
    <w:rsid w:val="00485CED"/>
    <w:rsid w:val="00490F71"/>
    <w:rsid w:val="00491556"/>
    <w:rsid w:val="004948B1"/>
    <w:rsid w:val="004A302C"/>
    <w:rsid w:val="004A5A4E"/>
    <w:rsid w:val="004A65D4"/>
    <w:rsid w:val="004A7C8A"/>
    <w:rsid w:val="004B6182"/>
    <w:rsid w:val="004C3164"/>
    <w:rsid w:val="004C5017"/>
    <w:rsid w:val="004E1F68"/>
    <w:rsid w:val="004E5042"/>
    <w:rsid w:val="004E6F1F"/>
    <w:rsid w:val="004E734F"/>
    <w:rsid w:val="004F3C43"/>
    <w:rsid w:val="004F433F"/>
    <w:rsid w:val="004F4AA4"/>
    <w:rsid w:val="004F4AE8"/>
    <w:rsid w:val="004F63DC"/>
    <w:rsid w:val="004F6837"/>
    <w:rsid w:val="004F79CA"/>
    <w:rsid w:val="004F7EA7"/>
    <w:rsid w:val="00500326"/>
    <w:rsid w:val="00506163"/>
    <w:rsid w:val="005067CF"/>
    <w:rsid w:val="00510055"/>
    <w:rsid w:val="005126BD"/>
    <w:rsid w:val="00524424"/>
    <w:rsid w:val="00526865"/>
    <w:rsid w:val="005268E1"/>
    <w:rsid w:val="005328AE"/>
    <w:rsid w:val="00533462"/>
    <w:rsid w:val="005369A8"/>
    <w:rsid w:val="00543496"/>
    <w:rsid w:val="00544556"/>
    <w:rsid w:val="0054475D"/>
    <w:rsid w:val="0054479D"/>
    <w:rsid w:val="00555003"/>
    <w:rsid w:val="00557B3D"/>
    <w:rsid w:val="005646F5"/>
    <w:rsid w:val="00565868"/>
    <w:rsid w:val="00570BB6"/>
    <w:rsid w:val="00572AE4"/>
    <w:rsid w:val="0057367B"/>
    <w:rsid w:val="0058195F"/>
    <w:rsid w:val="00582A21"/>
    <w:rsid w:val="00584A0C"/>
    <w:rsid w:val="00587583"/>
    <w:rsid w:val="00590563"/>
    <w:rsid w:val="00593436"/>
    <w:rsid w:val="005942F8"/>
    <w:rsid w:val="005962C2"/>
    <w:rsid w:val="00596F89"/>
    <w:rsid w:val="005A02F3"/>
    <w:rsid w:val="005A0D20"/>
    <w:rsid w:val="005A1668"/>
    <w:rsid w:val="005A7B00"/>
    <w:rsid w:val="005B697E"/>
    <w:rsid w:val="005C1DE2"/>
    <w:rsid w:val="005C45AB"/>
    <w:rsid w:val="005C6625"/>
    <w:rsid w:val="005C6EEF"/>
    <w:rsid w:val="005D0D47"/>
    <w:rsid w:val="005D192E"/>
    <w:rsid w:val="005E2AE2"/>
    <w:rsid w:val="005E3C72"/>
    <w:rsid w:val="005E4377"/>
    <w:rsid w:val="005E64B1"/>
    <w:rsid w:val="005E66DB"/>
    <w:rsid w:val="005E6E41"/>
    <w:rsid w:val="005F17D5"/>
    <w:rsid w:val="005F2F39"/>
    <w:rsid w:val="005F3322"/>
    <w:rsid w:val="005F5FED"/>
    <w:rsid w:val="005F710F"/>
    <w:rsid w:val="00600141"/>
    <w:rsid w:val="006015D8"/>
    <w:rsid w:val="00604012"/>
    <w:rsid w:val="00604D38"/>
    <w:rsid w:val="006100A4"/>
    <w:rsid w:val="006110CA"/>
    <w:rsid w:val="00614927"/>
    <w:rsid w:val="00616962"/>
    <w:rsid w:val="00617409"/>
    <w:rsid w:val="00617BA6"/>
    <w:rsid w:val="00620D26"/>
    <w:rsid w:val="0062232D"/>
    <w:rsid w:val="00624565"/>
    <w:rsid w:val="00627A06"/>
    <w:rsid w:val="00630D70"/>
    <w:rsid w:val="00635A54"/>
    <w:rsid w:val="00636A6E"/>
    <w:rsid w:val="00644017"/>
    <w:rsid w:val="006514FC"/>
    <w:rsid w:val="00651D22"/>
    <w:rsid w:val="00653AC2"/>
    <w:rsid w:val="00655CE2"/>
    <w:rsid w:val="00656AAB"/>
    <w:rsid w:val="00661C19"/>
    <w:rsid w:val="00663018"/>
    <w:rsid w:val="006634B9"/>
    <w:rsid w:val="00663755"/>
    <w:rsid w:val="0066599C"/>
    <w:rsid w:val="00666554"/>
    <w:rsid w:val="0067361C"/>
    <w:rsid w:val="00674973"/>
    <w:rsid w:val="00676B0B"/>
    <w:rsid w:val="006815DF"/>
    <w:rsid w:val="0068280B"/>
    <w:rsid w:val="00682896"/>
    <w:rsid w:val="006848F7"/>
    <w:rsid w:val="0068710E"/>
    <w:rsid w:val="00690859"/>
    <w:rsid w:val="006913C0"/>
    <w:rsid w:val="0069442C"/>
    <w:rsid w:val="006948E4"/>
    <w:rsid w:val="00694E1D"/>
    <w:rsid w:val="0069508C"/>
    <w:rsid w:val="00695399"/>
    <w:rsid w:val="006967FF"/>
    <w:rsid w:val="006A1A3C"/>
    <w:rsid w:val="006A261B"/>
    <w:rsid w:val="006A308A"/>
    <w:rsid w:val="006A3507"/>
    <w:rsid w:val="006A6F66"/>
    <w:rsid w:val="006B2287"/>
    <w:rsid w:val="006B249E"/>
    <w:rsid w:val="006B4D65"/>
    <w:rsid w:val="006C31C3"/>
    <w:rsid w:val="006C50EB"/>
    <w:rsid w:val="006C7DE1"/>
    <w:rsid w:val="006E1B20"/>
    <w:rsid w:val="006E2FC1"/>
    <w:rsid w:val="006E50CB"/>
    <w:rsid w:val="006F06D2"/>
    <w:rsid w:val="006F1108"/>
    <w:rsid w:val="006F1513"/>
    <w:rsid w:val="006F2C5C"/>
    <w:rsid w:val="006F4CFC"/>
    <w:rsid w:val="006F5950"/>
    <w:rsid w:val="006F5AD7"/>
    <w:rsid w:val="006F74E2"/>
    <w:rsid w:val="006F7879"/>
    <w:rsid w:val="00701FCB"/>
    <w:rsid w:val="007029AF"/>
    <w:rsid w:val="00702C83"/>
    <w:rsid w:val="00704E03"/>
    <w:rsid w:val="00707553"/>
    <w:rsid w:val="00710112"/>
    <w:rsid w:val="0071065B"/>
    <w:rsid w:val="0071753E"/>
    <w:rsid w:val="00721A3C"/>
    <w:rsid w:val="00730F3B"/>
    <w:rsid w:val="007317AE"/>
    <w:rsid w:val="0073572D"/>
    <w:rsid w:val="0073635F"/>
    <w:rsid w:val="00740449"/>
    <w:rsid w:val="00743095"/>
    <w:rsid w:val="00744F52"/>
    <w:rsid w:val="00745C46"/>
    <w:rsid w:val="00746315"/>
    <w:rsid w:val="00762AF7"/>
    <w:rsid w:val="007658DF"/>
    <w:rsid w:val="007678D8"/>
    <w:rsid w:val="00767F96"/>
    <w:rsid w:val="007808B9"/>
    <w:rsid w:val="00781F8C"/>
    <w:rsid w:val="00791CB8"/>
    <w:rsid w:val="00792409"/>
    <w:rsid w:val="00792AB3"/>
    <w:rsid w:val="00794754"/>
    <w:rsid w:val="007A0342"/>
    <w:rsid w:val="007A3A7C"/>
    <w:rsid w:val="007A4B25"/>
    <w:rsid w:val="007B4325"/>
    <w:rsid w:val="007B4DCA"/>
    <w:rsid w:val="007C20B5"/>
    <w:rsid w:val="007C21B0"/>
    <w:rsid w:val="007D198C"/>
    <w:rsid w:val="007D22A5"/>
    <w:rsid w:val="007D6950"/>
    <w:rsid w:val="007E082D"/>
    <w:rsid w:val="007E140C"/>
    <w:rsid w:val="007E3AFC"/>
    <w:rsid w:val="007E40C0"/>
    <w:rsid w:val="007E500D"/>
    <w:rsid w:val="007F0E9E"/>
    <w:rsid w:val="007F107B"/>
    <w:rsid w:val="007F25C1"/>
    <w:rsid w:val="007F3966"/>
    <w:rsid w:val="00800AEB"/>
    <w:rsid w:val="00800DE0"/>
    <w:rsid w:val="00801B6B"/>
    <w:rsid w:val="008027A2"/>
    <w:rsid w:val="00803D2F"/>
    <w:rsid w:val="00804114"/>
    <w:rsid w:val="00804A66"/>
    <w:rsid w:val="008066D6"/>
    <w:rsid w:val="008074E4"/>
    <w:rsid w:val="008079C6"/>
    <w:rsid w:val="00807E49"/>
    <w:rsid w:val="0081258B"/>
    <w:rsid w:val="00815639"/>
    <w:rsid w:val="00820AFA"/>
    <w:rsid w:val="0082195B"/>
    <w:rsid w:val="008233F8"/>
    <w:rsid w:val="0082371F"/>
    <w:rsid w:val="00824433"/>
    <w:rsid w:val="00824E67"/>
    <w:rsid w:val="00826698"/>
    <w:rsid w:val="00826ADB"/>
    <w:rsid w:val="0083081A"/>
    <w:rsid w:val="00830C89"/>
    <w:rsid w:val="008326A5"/>
    <w:rsid w:val="00832F71"/>
    <w:rsid w:val="00833082"/>
    <w:rsid w:val="008347DE"/>
    <w:rsid w:val="00835B90"/>
    <w:rsid w:val="0083669B"/>
    <w:rsid w:val="00837930"/>
    <w:rsid w:val="00841C91"/>
    <w:rsid w:val="00842100"/>
    <w:rsid w:val="008445B2"/>
    <w:rsid w:val="0084661E"/>
    <w:rsid w:val="0085592D"/>
    <w:rsid w:val="00855A62"/>
    <w:rsid w:val="00857126"/>
    <w:rsid w:val="00861129"/>
    <w:rsid w:val="0086129A"/>
    <w:rsid w:val="008625BA"/>
    <w:rsid w:val="0087159A"/>
    <w:rsid w:val="008715EE"/>
    <w:rsid w:val="008729FE"/>
    <w:rsid w:val="00876D7D"/>
    <w:rsid w:val="0088116E"/>
    <w:rsid w:val="008811DC"/>
    <w:rsid w:val="00882005"/>
    <w:rsid w:val="00882EA4"/>
    <w:rsid w:val="00883AAF"/>
    <w:rsid w:val="008867C0"/>
    <w:rsid w:val="008872F3"/>
    <w:rsid w:val="00890D88"/>
    <w:rsid w:val="00892010"/>
    <w:rsid w:val="008931FF"/>
    <w:rsid w:val="0089793A"/>
    <w:rsid w:val="008A340F"/>
    <w:rsid w:val="008A436A"/>
    <w:rsid w:val="008A5BD6"/>
    <w:rsid w:val="008A5F22"/>
    <w:rsid w:val="008B7034"/>
    <w:rsid w:val="008C064E"/>
    <w:rsid w:val="008C1281"/>
    <w:rsid w:val="008C218A"/>
    <w:rsid w:val="008C4886"/>
    <w:rsid w:val="008C4BAA"/>
    <w:rsid w:val="008C7CD0"/>
    <w:rsid w:val="008D0778"/>
    <w:rsid w:val="008D1E74"/>
    <w:rsid w:val="008D4878"/>
    <w:rsid w:val="008D6572"/>
    <w:rsid w:val="008D6ABD"/>
    <w:rsid w:val="008D702C"/>
    <w:rsid w:val="008E00BA"/>
    <w:rsid w:val="008E0597"/>
    <w:rsid w:val="008E3517"/>
    <w:rsid w:val="008E394F"/>
    <w:rsid w:val="008E49DB"/>
    <w:rsid w:val="008E6B32"/>
    <w:rsid w:val="008F132F"/>
    <w:rsid w:val="008F2702"/>
    <w:rsid w:val="008F29D6"/>
    <w:rsid w:val="008F4DA8"/>
    <w:rsid w:val="008F6494"/>
    <w:rsid w:val="008F779D"/>
    <w:rsid w:val="00901E9F"/>
    <w:rsid w:val="00906CB6"/>
    <w:rsid w:val="00912F5D"/>
    <w:rsid w:val="00913FC5"/>
    <w:rsid w:val="0092158D"/>
    <w:rsid w:val="009215F5"/>
    <w:rsid w:val="00922B8E"/>
    <w:rsid w:val="009247DD"/>
    <w:rsid w:val="00925998"/>
    <w:rsid w:val="00930370"/>
    <w:rsid w:val="009328F8"/>
    <w:rsid w:val="00936C3A"/>
    <w:rsid w:val="00937699"/>
    <w:rsid w:val="00941531"/>
    <w:rsid w:val="00942690"/>
    <w:rsid w:val="00942DFA"/>
    <w:rsid w:val="0094475C"/>
    <w:rsid w:val="00945F9F"/>
    <w:rsid w:val="009517AD"/>
    <w:rsid w:val="00952067"/>
    <w:rsid w:val="0095776B"/>
    <w:rsid w:val="00960103"/>
    <w:rsid w:val="00960AA2"/>
    <w:rsid w:val="0096103D"/>
    <w:rsid w:val="00961554"/>
    <w:rsid w:val="00962723"/>
    <w:rsid w:val="009635C0"/>
    <w:rsid w:val="00970F06"/>
    <w:rsid w:val="00970F8A"/>
    <w:rsid w:val="00976CAB"/>
    <w:rsid w:val="009802D5"/>
    <w:rsid w:val="009855BD"/>
    <w:rsid w:val="00986383"/>
    <w:rsid w:val="00993706"/>
    <w:rsid w:val="00995BEA"/>
    <w:rsid w:val="009979FE"/>
    <w:rsid w:val="009A0012"/>
    <w:rsid w:val="009A35EC"/>
    <w:rsid w:val="009A3F15"/>
    <w:rsid w:val="009B1710"/>
    <w:rsid w:val="009B243D"/>
    <w:rsid w:val="009B24A6"/>
    <w:rsid w:val="009B3464"/>
    <w:rsid w:val="009B3E39"/>
    <w:rsid w:val="009B3E9D"/>
    <w:rsid w:val="009B3FC2"/>
    <w:rsid w:val="009B485E"/>
    <w:rsid w:val="009B50F4"/>
    <w:rsid w:val="009B53DB"/>
    <w:rsid w:val="009C1038"/>
    <w:rsid w:val="009C558E"/>
    <w:rsid w:val="009D0688"/>
    <w:rsid w:val="009D161D"/>
    <w:rsid w:val="009D183E"/>
    <w:rsid w:val="009D2CD1"/>
    <w:rsid w:val="009D7D64"/>
    <w:rsid w:val="009E1802"/>
    <w:rsid w:val="009E2083"/>
    <w:rsid w:val="009F0048"/>
    <w:rsid w:val="009F0713"/>
    <w:rsid w:val="009F656A"/>
    <w:rsid w:val="00A022F2"/>
    <w:rsid w:val="00A02C4F"/>
    <w:rsid w:val="00A032BD"/>
    <w:rsid w:val="00A051AA"/>
    <w:rsid w:val="00A05BA8"/>
    <w:rsid w:val="00A065F8"/>
    <w:rsid w:val="00A065FA"/>
    <w:rsid w:val="00A06D11"/>
    <w:rsid w:val="00A079A6"/>
    <w:rsid w:val="00A10C95"/>
    <w:rsid w:val="00A114D5"/>
    <w:rsid w:val="00A11CEC"/>
    <w:rsid w:val="00A21840"/>
    <w:rsid w:val="00A2319E"/>
    <w:rsid w:val="00A2535C"/>
    <w:rsid w:val="00A272E4"/>
    <w:rsid w:val="00A319A2"/>
    <w:rsid w:val="00A35976"/>
    <w:rsid w:val="00A36546"/>
    <w:rsid w:val="00A36686"/>
    <w:rsid w:val="00A436B0"/>
    <w:rsid w:val="00A46708"/>
    <w:rsid w:val="00A51680"/>
    <w:rsid w:val="00A5206C"/>
    <w:rsid w:val="00A53537"/>
    <w:rsid w:val="00A576C0"/>
    <w:rsid w:val="00A60525"/>
    <w:rsid w:val="00A61C2B"/>
    <w:rsid w:val="00A65C7A"/>
    <w:rsid w:val="00A6721C"/>
    <w:rsid w:val="00A67D51"/>
    <w:rsid w:val="00A7192C"/>
    <w:rsid w:val="00A71F98"/>
    <w:rsid w:val="00A72F57"/>
    <w:rsid w:val="00A74CC7"/>
    <w:rsid w:val="00A7709D"/>
    <w:rsid w:val="00A77FD6"/>
    <w:rsid w:val="00A820C9"/>
    <w:rsid w:val="00A83E81"/>
    <w:rsid w:val="00A84759"/>
    <w:rsid w:val="00A85DAB"/>
    <w:rsid w:val="00A86FD2"/>
    <w:rsid w:val="00A91B5E"/>
    <w:rsid w:val="00A91D02"/>
    <w:rsid w:val="00A92E9A"/>
    <w:rsid w:val="00A931A7"/>
    <w:rsid w:val="00A95F06"/>
    <w:rsid w:val="00A9617F"/>
    <w:rsid w:val="00AA00EB"/>
    <w:rsid w:val="00AA2701"/>
    <w:rsid w:val="00AA2B8C"/>
    <w:rsid w:val="00AA3AF3"/>
    <w:rsid w:val="00AA49EC"/>
    <w:rsid w:val="00AA775E"/>
    <w:rsid w:val="00AB04DB"/>
    <w:rsid w:val="00AB1299"/>
    <w:rsid w:val="00AB1B54"/>
    <w:rsid w:val="00AB4A5B"/>
    <w:rsid w:val="00AB7E77"/>
    <w:rsid w:val="00AC045F"/>
    <w:rsid w:val="00AC1209"/>
    <w:rsid w:val="00AC1A1A"/>
    <w:rsid w:val="00AC430D"/>
    <w:rsid w:val="00AC7328"/>
    <w:rsid w:val="00AC7D5A"/>
    <w:rsid w:val="00AD2803"/>
    <w:rsid w:val="00AD2949"/>
    <w:rsid w:val="00AE278B"/>
    <w:rsid w:val="00AE2BE1"/>
    <w:rsid w:val="00AE3F24"/>
    <w:rsid w:val="00AE6307"/>
    <w:rsid w:val="00AE6CEA"/>
    <w:rsid w:val="00AF0D6F"/>
    <w:rsid w:val="00AF2C44"/>
    <w:rsid w:val="00AF3641"/>
    <w:rsid w:val="00AF5642"/>
    <w:rsid w:val="00AF60CE"/>
    <w:rsid w:val="00AF6376"/>
    <w:rsid w:val="00AF75D8"/>
    <w:rsid w:val="00AF77C0"/>
    <w:rsid w:val="00B04D5E"/>
    <w:rsid w:val="00B05E99"/>
    <w:rsid w:val="00B07B76"/>
    <w:rsid w:val="00B122F8"/>
    <w:rsid w:val="00B12BD8"/>
    <w:rsid w:val="00B1337A"/>
    <w:rsid w:val="00B23975"/>
    <w:rsid w:val="00B2683F"/>
    <w:rsid w:val="00B31099"/>
    <w:rsid w:val="00B34B2E"/>
    <w:rsid w:val="00B3532D"/>
    <w:rsid w:val="00B35B32"/>
    <w:rsid w:val="00B35CE9"/>
    <w:rsid w:val="00B37BC9"/>
    <w:rsid w:val="00B40AA6"/>
    <w:rsid w:val="00B41BF2"/>
    <w:rsid w:val="00B43AA7"/>
    <w:rsid w:val="00B43ADD"/>
    <w:rsid w:val="00B43F2B"/>
    <w:rsid w:val="00B45EB2"/>
    <w:rsid w:val="00B51263"/>
    <w:rsid w:val="00B566B2"/>
    <w:rsid w:val="00B66028"/>
    <w:rsid w:val="00B66555"/>
    <w:rsid w:val="00B67B5D"/>
    <w:rsid w:val="00B719CC"/>
    <w:rsid w:val="00B75785"/>
    <w:rsid w:val="00B75A39"/>
    <w:rsid w:val="00B7623C"/>
    <w:rsid w:val="00B809B0"/>
    <w:rsid w:val="00B8146F"/>
    <w:rsid w:val="00B814F7"/>
    <w:rsid w:val="00B82793"/>
    <w:rsid w:val="00B83D5C"/>
    <w:rsid w:val="00B86A55"/>
    <w:rsid w:val="00B9022A"/>
    <w:rsid w:val="00B9411F"/>
    <w:rsid w:val="00B947E7"/>
    <w:rsid w:val="00B958B2"/>
    <w:rsid w:val="00B96E33"/>
    <w:rsid w:val="00BA0B0E"/>
    <w:rsid w:val="00BA0D26"/>
    <w:rsid w:val="00BA15A8"/>
    <w:rsid w:val="00BA1FD3"/>
    <w:rsid w:val="00BA279B"/>
    <w:rsid w:val="00BA44B5"/>
    <w:rsid w:val="00BA5168"/>
    <w:rsid w:val="00BA7839"/>
    <w:rsid w:val="00BA7CEE"/>
    <w:rsid w:val="00BB1B0F"/>
    <w:rsid w:val="00BB1D7C"/>
    <w:rsid w:val="00BB23B5"/>
    <w:rsid w:val="00BB2A5F"/>
    <w:rsid w:val="00BB3B32"/>
    <w:rsid w:val="00BB3F1E"/>
    <w:rsid w:val="00BC2BB5"/>
    <w:rsid w:val="00BC3BEC"/>
    <w:rsid w:val="00BC4C42"/>
    <w:rsid w:val="00BC7424"/>
    <w:rsid w:val="00BD238C"/>
    <w:rsid w:val="00BD25BE"/>
    <w:rsid w:val="00BD3884"/>
    <w:rsid w:val="00BD4786"/>
    <w:rsid w:val="00BD5EAD"/>
    <w:rsid w:val="00BE1FA7"/>
    <w:rsid w:val="00BE39F7"/>
    <w:rsid w:val="00BE3CD2"/>
    <w:rsid w:val="00BE6D83"/>
    <w:rsid w:val="00BE74C0"/>
    <w:rsid w:val="00BF0FC1"/>
    <w:rsid w:val="00BF0FE5"/>
    <w:rsid w:val="00BF4732"/>
    <w:rsid w:val="00BF7887"/>
    <w:rsid w:val="00BF7D68"/>
    <w:rsid w:val="00C00AD4"/>
    <w:rsid w:val="00C053F7"/>
    <w:rsid w:val="00C06C2C"/>
    <w:rsid w:val="00C103D7"/>
    <w:rsid w:val="00C107F5"/>
    <w:rsid w:val="00C15A05"/>
    <w:rsid w:val="00C15DAB"/>
    <w:rsid w:val="00C22F54"/>
    <w:rsid w:val="00C23617"/>
    <w:rsid w:val="00C24C8D"/>
    <w:rsid w:val="00C25454"/>
    <w:rsid w:val="00C267D5"/>
    <w:rsid w:val="00C26EC3"/>
    <w:rsid w:val="00C354F1"/>
    <w:rsid w:val="00C36532"/>
    <w:rsid w:val="00C400FE"/>
    <w:rsid w:val="00C424CD"/>
    <w:rsid w:val="00C4682E"/>
    <w:rsid w:val="00C47E35"/>
    <w:rsid w:val="00C50549"/>
    <w:rsid w:val="00C50BEF"/>
    <w:rsid w:val="00C52FF1"/>
    <w:rsid w:val="00C532BC"/>
    <w:rsid w:val="00C54B8E"/>
    <w:rsid w:val="00C56307"/>
    <w:rsid w:val="00C56EDE"/>
    <w:rsid w:val="00C609B8"/>
    <w:rsid w:val="00C613FB"/>
    <w:rsid w:val="00C61567"/>
    <w:rsid w:val="00C638B8"/>
    <w:rsid w:val="00C65312"/>
    <w:rsid w:val="00C65E74"/>
    <w:rsid w:val="00C72550"/>
    <w:rsid w:val="00C748EA"/>
    <w:rsid w:val="00C7640D"/>
    <w:rsid w:val="00C7666C"/>
    <w:rsid w:val="00C77D44"/>
    <w:rsid w:val="00C807A7"/>
    <w:rsid w:val="00C82310"/>
    <w:rsid w:val="00C83009"/>
    <w:rsid w:val="00C85B58"/>
    <w:rsid w:val="00C8702A"/>
    <w:rsid w:val="00C8788C"/>
    <w:rsid w:val="00C8789E"/>
    <w:rsid w:val="00C90A36"/>
    <w:rsid w:val="00C90A5B"/>
    <w:rsid w:val="00C934D3"/>
    <w:rsid w:val="00C938A6"/>
    <w:rsid w:val="00C94EBE"/>
    <w:rsid w:val="00CA1166"/>
    <w:rsid w:val="00CA3303"/>
    <w:rsid w:val="00CA6C13"/>
    <w:rsid w:val="00CB1714"/>
    <w:rsid w:val="00CB18DB"/>
    <w:rsid w:val="00CB5528"/>
    <w:rsid w:val="00CC0CDA"/>
    <w:rsid w:val="00CC234E"/>
    <w:rsid w:val="00CC3435"/>
    <w:rsid w:val="00CC66A1"/>
    <w:rsid w:val="00CD3766"/>
    <w:rsid w:val="00CD5CCE"/>
    <w:rsid w:val="00CD622D"/>
    <w:rsid w:val="00CE397A"/>
    <w:rsid w:val="00CE523A"/>
    <w:rsid w:val="00CE77B2"/>
    <w:rsid w:val="00CF0FEA"/>
    <w:rsid w:val="00CF2338"/>
    <w:rsid w:val="00CF6D58"/>
    <w:rsid w:val="00D009B5"/>
    <w:rsid w:val="00D013E7"/>
    <w:rsid w:val="00D02942"/>
    <w:rsid w:val="00D10FC5"/>
    <w:rsid w:val="00D11BE1"/>
    <w:rsid w:val="00D1549F"/>
    <w:rsid w:val="00D1561D"/>
    <w:rsid w:val="00D17447"/>
    <w:rsid w:val="00D177EE"/>
    <w:rsid w:val="00D2090E"/>
    <w:rsid w:val="00D20B4D"/>
    <w:rsid w:val="00D2215C"/>
    <w:rsid w:val="00D22C4B"/>
    <w:rsid w:val="00D322F4"/>
    <w:rsid w:val="00D344D6"/>
    <w:rsid w:val="00D363BF"/>
    <w:rsid w:val="00D372FB"/>
    <w:rsid w:val="00D4589D"/>
    <w:rsid w:val="00D45A52"/>
    <w:rsid w:val="00D47141"/>
    <w:rsid w:val="00D47246"/>
    <w:rsid w:val="00D476F6"/>
    <w:rsid w:val="00D50817"/>
    <w:rsid w:val="00D51437"/>
    <w:rsid w:val="00D54BA7"/>
    <w:rsid w:val="00D56567"/>
    <w:rsid w:val="00D5791C"/>
    <w:rsid w:val="00D61A74"/>
    <w:rsid w:val="00D624D0"/>
    <w:rsid w:val="00D6388E"/>
    <w:rsid w:val="00D645D1"/>
    <w:rsid w:val="00D65A14"/>
    <w:rsid w:val="00D67E81"/>
    <w:rsid w:val="00D71C65"/>
    <w:rsid w:val="00D71D88"/>
    <w:rsid w:val="00D737E2"/>
    <w:rsid w:val="00D8112F"/>
    <w:rsid w:val="00D81929"/>
    <w:rsid w:val="00D81D98"/>
    <w:rsid w:val="00D84D50"/>
    <w:rsid w:val="00D84FEF"/>
    <w:rsid w:val="00D90491"/>
    <w:rsid w:val="00D9139D"/>
    <w:rsid w:val="00D92C7E"/>
    <w:rsid w:val="00D9445C"/>
    <w:rsid w:val="00D954DB"/>
    <w:rsid w:val="00DA0A9B"/>
    <w:rsid w:val="00DA5249"/>
    <w:rsid w:val="00DA5444"/>
    <w:rsid w:val="00DA5CF1"/>
    <w:rsid w:val="00DA7D81"/>
    <w:rsid w:val="00DB0EAC"/>
    <w:rsid w:val="00DB18DF"/>
    <w:rsid w:val="00DB2D09"/>
    <w:rsid w:val="00DB54BD"/>
    <w:rsid w:val="00DB5A7D"/>
    <w:rsid w:val="00DB70B3"/>
    <w:rsid w:val="00DC0CFA"/>
    <w:rsid w:val="00DC173F"/>
    <w:rsid w:val="00DC2A64"/>
    <w:rsid w:val="00DC5112"/>
    <w:rsid w:val="00DC55D2"/>
    <w:rsid w:val="00DD21E9"/>
    <w:rsid w:val="00DD4579"/>
    <w:rsid w:val="00DE0593"/>
    <w:rsid w:val="00DE3678"/>
    <w:rsid w:val="00DE383E"/>
    <w:rsid w:val="00DE46B0"/>
    <w:rsid w:val="00DE4FB9"/>
    <w:rsid w:val="00DE67AE"/>
    <w:rsid w:val="00DE68C4"/>
    <w:rsid w:val="00DF10A0"/>
    <w:rsid w:val="00DF18BA"/>
    <w:rsid w:val="00E01026"/>
    <w:rsid w:val="00E02611"/>
    <w:rsid w:val="00E02751"/>
    <w:rsid w:val="00E04E50"/>
    <w:rsid w:val="00E06A45"/>
    <w:rsid w:val="00E076B4"/>
    <w:rsid w:val="00E13E5D"/>
    <w:rsid w:val="00E16F20"/>
    <w:rsid w:val="00E20DEC"/>
    <w:rsid w:val="00E20F9B"/>
    <w:rsid w:val="00E21738"/>
    <w:rsid w:val="00E244E1"/>
    <w:rsid w:val="00E2718C"/>
    <w:rsid w:val="00E27394"/>
    <w:rsid w:val="00E32D84"/>
    <w:rsid w:val="00E34791"/>
    <w:rsid w:val="00E35819"/>
    <w:rsid w:val="00E44A6C"/>
    <w:rsid w:val="00E474E5"/>
    <w:rsid w:val="00E5027F"/>
    <w:rsid w:val="00E50867"/>
    <w:rsid w:val="00E54852"/>
    <w:rsid w:val="00E553ED"/>
    <w:rsid w:val="00E56D66"/>
    <w:rsid w:val="00E6041D"/>
    <w:rsid w:val="00E60740"/>
    <w:rsid w:val="00E607E4"/>
    <w:rsid w:val="00E6124C"/>
    <w:rsid w:val="00E70C83"/>
    <w:rsid w:val="00E73EC1"/>
    <w:rsid w:val="00E7400D"/>
    <w:rsid w:val="00E74D92"/>
    <w:rsid w:val="00E842DE"/>
    <w:rsid w:val="00E86073"/>
    <w:rsid w:val="00E878EA"/>
    <w:rsid w:val="00E91026"/>
    <w:rsid w:val="00E947AA"/>
    <w:rsid w:val="00E972B2"/>
    <w:rsid w:val="00EA1F48"/>
    <w:rsid w:val="00EA2A34"/>
    <w:rsid w:val="00EA530D"/>
    <w:rsid w:val="00EA62A1"/>
    <w:rsid w:val="00EB2C5A"/>
    <w:rsid w:val="00EB3786"/>
    <w:rsid w:val="00EB5E4A"/>
    <w:rsid w:val="00EB612D"/>
    <w:rsid w:val="00EB75F3"/>
    <w:rsid w:val="00EC0796"/>
    <w:rsid w:val="00EC103F"/>
    <w:rsid w:val="00EC40BF"/>
    <w:rsid w:val="00EC6ED4"/>
    <w:rsid w:val="00EC7885"/>
    <w:rsid w:val="00EC7F27"/>
    <w:rsid w:val="00ED183F"/>
    <w:rsid w:val="00ED4F69"/>
    <w:rsid w:val="00EE0472"/>
    <w:rsid w:val="00EE2B1B"/>
    <w:rsid w:val="00EE2BB6"/>
    <w:rsid w:val="00EE3B58"/>
    <w:rsid w:val="00EE3F34"/>
    <w:rsid w:val="00EE5584"/>
    <w:rsid w:val="00EE583F"/>
    <w:rsid w:val="00EF0ABC"/>
    <w:rsid w:val="00EF542B"/>
    <w:rsid w:val="00F008E7"/>
    <w:rsid w:val="00F04132"/>
    <w:rsid w:val="00F06C06"/>
    <w:rsid w:val="00F06D55"/>
    <w:rsid w:val="00F1153B"/>
    <w:rsid w:val="00F1390B"/>
    <w:rsid w:val="00F16E2B"/>
    <w:rsid w:val="00F22FC2"/>
    <w:rsid w:val="00F2492A"/>
    <w:rsid w:val="00F25524"/>
    <w:rsid w:val="00F26A7A"/>
    <w:rsid w:val="00F27E17"/>
    <w:rsid w:val="00F30595"/>
    <w:rsid w:val="00F35224"/>
    <w:rsid w:val="00F36104"/>
    <w:rsid w:val="00F36759"/>
    <w:rsid w:val="00F36C41"/>
    <w:rsid w:val="00F42038"/>
    <w:rsid w:val="00F427D0"/>
    <w:rsid w:val="00F43863"/>
    <w:rsid w:val="00F44512"/>
    <w:rsid w:val="00F44FA6"/>
    <w:rsid w:val="00F46552"/>
    <w:rsid w:val="00F46915"/>
    <w:rsid w:val="00F47002"/>
    <w:rsid w:val="00F471FF"/>
    <w:rsid w:val="00F51BDE"/>
    <w:rsid w:val="00F521F7"/>
    <w:rsid w:val="00F540F9"/>
    <w:rsid w:val="00F5416C"/>
    <w:rsid w:val="00F5691D"/>
    <w:rsid w:val="00F61FD6"/>
    <w:rsid w:val="00F63792"/>
    <w:rsid w:val="00F64A31"/>
    <w:rsid w:val="00F64B6B"/>
    <w:rsid w:val="00F6689F"/>
    <w:rsid w:val="00F715EE"/>
    <w:rsid w:val="00F71A73"/>
    <w:rsid w:val="00F7269D"/>
    <w:rsid w:val="00F7338D"/>
    <w:rsid w:val="00F739F8"/>
    <w:rsid w:val="00F76AD0"/>
    <w:rsid w:val="00F77C8B"/>
    <w:rsid w:val="00F81684"/>
    <w:rsid w:val="00F8405B"/>
    <w:rsid w:val="00F84F6C"/>
    <w:rsid w:val="00F85616"/>
    <w:rsid w:val="00F86349"/>
    <w:rsid w:val="00F866B6"/>
    <w:rsid w:val="00F93489"/>
    <w:rsid w:val="00F94932"/>
    <w:rsid w:val="00F9497C"/>
    <w:rsid w:val="00F95B20"/>
    <w:rsid w:val="00FA5D67"/>
    <w:rsid w:val="00FB348A"/>
    <w:rsid w:val="00FB422C"/>
    <w:rsid w:val="00FB63E6"/>
    <w:rsid w:val="00FC48C9"/>
    <w:rsid w:val="00FC6D4F"/>
    <w:rsid w:val="00FC7AAF"/>
    <w:rsid w:val="00FC7F50"/>
    <w:rsid w:val="00FD0194"/>
    <w:rsid w:val="00FD2108"/>
    <w:rsid w:val="00FD3FD6"/>
    <w:rsid w:val="00FD71DC"/>
    <w:rsid w:val="00FE0522"/>
    <w:rsid w:val="00FE4CE5"/>
    <w:rsid w:val="00FE5C6B"/>
    <w:rsid w:val="00FF2255"/>
    <w:rsid w:val="00FF2BC8"/>
    <w:rsid w:val="00FF32CD"/>
    <w:rsid w:val="00FF456D"/>
    <w:rsid w:val="00FF49C3"/>
    <w:rsid w:val="00FF53CA"/>
    <w:rsid w:val="00FF63BE"/>
    <w:rsid w:val="00FF7F1B"/>
    <w:rsid w:val="010A478A"/>
    <w:rsid w:val="01140F20"/>
    <w:rsid w:val="0117427B"/>
    <w:rsid w:val="012B78BC"/>
    <w:rsid w:val="015703E2"/>
    <w:rsid w:val="01615FE6"/>
    <w:rsid w:val="016E2E7C"/>
    <w:rsid w:val="01815F64"/>
    <w:rsid w:val="0182731F"/>
    <w:rsid w:val="01911DD2"/>
    <w:rsid w:val="01AC4CC0"/>
    <w:rsid w:val="01AF1157"/>
    <w:rsid w:val="01B827E9"/>
    <w:rsid w:val="01C34939"/>
    <w:rsid w:val="01CA5EE6"/>
    <w:rsid w:val="01E631E6"/>
    <w:rsid w:val="0241242E"/>
    <w:rsid w:val="02621A3B"/>
    <w:rsid w:val="02634F58"/>
    <w:rsid w:val="02713CE9"/>
    <w:rsid w:val="027A0FAC"/>
    <w:rsid w:val="027B0645"/>
    <w:rsid w:val="02937392"/>
    <w:rsid w:val="02986BAE"/>
    <w:rsid w:val="02AC5D2D"/>
    <w:rsid w:val="02B468D4"/>
    <w:rsid w:val="02B822EE"/>
    <w:rsid w:val="02BA1A1C"/>
    <w:rsid w:val="02BC151D"/>
    <w:rsid w:val="02F33177"/>
    <w:rsid w:val="03081FA8"/>
    <w:rsid w:val="03313C23"/>
    <w:rsid w:val="034B1217"/>
    <w:rsid w:val="03517B13"/>
    <w:rsid w:val="037E3DAB"/>
    <w:rsid w:val="037E4131"/>
    <w:rsid w:val="039676A1"/>
    <w:rsid w:val="03D126F5"/>
    <w:rsid w:val="03E72F73"/>
    <w:rsid w:val="03FA653E"/>
    <w:rsid w:val="040855F0"/>
    <w:rsid w:val="043B1FBA"/>
    <w:rsid w:val="044364E6"/>
    <w:rsid w:val="04796979"/>
    <w:rsid w:val="04A079A1"/>
    <w:rsid w:val="04AD0C33"/>
    <w:rsid w:val="04B8684A"/>
    <w:rsid w:val="04BD3082"/>
    <w:rsid w:val="04C95821"/>
    <w:rsid w:val="04CE4C6D"/>
    <w:rsid w:val="04D50AC5"/>
    <w:rsid w:val="04D9313E"/>
    <w:rsid w:val="04E20BB2"/>
    <w:rsid w:val="052517AC"/>
    <w:rsid w:val="052A2F37"/>
    <w:rsid w:val="05322587"/>
    <w:rsid w:val="0537040A"/>
    <w:rsid w:val="05577082"/>
    <w:rsid w:val="05675B6F"/>
    <w:rsid w:val="05784ADB"/>
    <w:rsid w:val="05837FB1"/>
    <w:rsid w:val="059B7190"/>
    <w:rsid w:val="05DB66F5"/>
    <w:rsid w:val="05E30809"/>
    <w:rsid w:val="06015038"/>
    <w:rsid w:val="0617564E"/>
    <w:rsid w:val="064E2B22"/>
    <w:rsid w:val="06586BA0"/>
    <w:rsid w:val="06647C71"/>
    <w:rsid w:val="06775908"/>
    <w:rsid w:val="067C58DB"/>
    <w:rsid w:val="06984252"/>
    <w:rsid w:val="06AC5BCC"/>
    <w:rsid w:val="06B21116"/>
    <w:rsid w:val="06B33245"/>
    <w:rsid w:val="06B97B42"/>
    <w:rsid w:val="06EE4233"/>
    <w:rsid w:val="06F37945"/>
    <w:rsid w:val="06F45CB8"/>
    <w:rsid w:val="06F7369E"/>
    <w:rsid w:val="06FC4D63"/>
    <w:rsid w:val="07022672"/>
    <w:rsid w:val="07147C31"/>
    <w:rsid w:val="072247F2"/>
    <w:rsid w:val="07763533"/>
    <w:rsid w:val="07770811"/>
    <w:rsid w:val="077A51BB"/>
    <w:rsid w:val="07BE17AC"/>
    <w:rsid w:val="07C908D5"/>
    <w:rsid w:val="07CD4CDA"/>
    <w:rsid w:val="07CF41EF"/>
    <w:rsid w:val="07D571E9"/>
    <w:rsid w:val="07DF365D"/>
    <w:rsid w:val="08006EF8"/>
    <w:rsid w:val="08077D08"/>
    <w:rsid w:val="080E1A38"/>
    <w:rsid w:val="08237E68"/>
    <w:rsid w:val="083A3DFF"/>
    <w:rsid w:val="087B3586"/>
    <w:rsid w:val="08AF5928"/>
    <w:rsid w:val="090047E8"/>
    <w:rsid w:val="09104EBA"/>
    <w:rsid w:val="093551A2"/>
    <w:rsid w:val="094B72FF"/>
    <w:rsid w:val="094B7FFD"/>
    <w:rsid w:val="09792C3C"/>
    <w:rsid w:val="09802789"/>
    <w:rsid w:val="09A83491"/>
    <w:rsid w:val="09C20B11"/>
    <w:rsid w:val="09E162A4"/>
    <w:rsid w:val="0A0A0F37"/>
    <w:rsid w:val="0A5B6057"/>
    <w:rsid w:val="0AA94995"/>
    <w:rsid w:val="0AB013DD"/>
    <w:rsid w:val="0AD76E09"/>
    <w:rsid w:val="0ADB5D98"/>
    <w:rsid w:val="0AEB20CF"/>
    <w:rsid w:val="0B307A1F"/>
    <w:rsid w:val="0B3A40CE"/>
    <w:rsid w:val="0B3D750A"/>
    <w:rsid w:val="0B600003"/>
    <w:rsid w:val="0BAD7377"/>
    <w:rsid w:val="0BB20E83"/>
    <w:rsid w:val="0BC74239"/>
    <w:rsid w:val="0BEF2A51"/>
    <w:rsid w:val="0BFE5057"/>
    <w:rsid w:val="0C0F7B53"/>
    <w:rsid w:val="0C103301"/>
    <w:rsid w:val="0C177F3B"/>
    <w:rsid w:val="0C3E1C23"/>
    <w:rsid w:val="0CA82A26"/>
    <w:rsid w:val="0CB51378"/>
    <w:rsid w:val="0CC85D17"/>
    <w:rsid w:val="0CDC4917"/>
    <w:rsid w:val="0CEA36C2"/>
    <w:rsid w:val="0D156991"/>
    <w:rsid w:val="0D310488"/>
    <w:rsid w:val="0D422805"/>
    <w:rsid w:val="0D677F7A"/>
    <w:rsid w:val="0D7D1AB0"/>
    <w:rsid w:val="0DB02904"/>
    <w:rsid w:val="0DCA52A3"/>
    <w:rsid w:val="0DE3086D"/>
    <w:rsid w:val="0DE41272"/>
    <w:rsid w:val="0E2249CA"/>
    <w:rsid w:val="0E2A5ED5"/>
    <w:rsid w:val="0E2B4ADB"/>
    <w:rsid w:val="0E652AC5"/>
    <w:rsid w:val="0E680D42"/>
    <w:rsid w:val="0E6C0832"/>
    <w:rsid w:val="0E7A340A"/>
    <w:rsid w:val="0E817AE0"/>
    <w:rsid w:val="0E870CBE"/>
    <w:rsid w:val="0EB8103D"/>
    <w:rsid w:val="0F064F48"/>
    <w:rsid w:val="0F3E1D0C"/>
    <w:rsid w:val="0F3F3AC3"/>
    <w:rsid w:val="0F563291"/>
    <w:rsid w:val="0F855EF7"/>
    <w:rsid w:val="0F886821"/>
    <w:rsid w:val="0F95677E"/>
    <w:rsid w:val="0F9E51BA"/>
    <w:rsid w:val="0FA33928"/>
    <w:rsid w:val="0FC5718F"/>
    <w:rsid w:val="0FDA6761"/>
    <w:rsid w:val="0FE04855"/>
    <w:rsid w:val="0FF94533"/>
    <w:rsid w:val="101747CE"/>
    <w:rsid w:val="10185130"/>
    <w:rsid w:val="10580897"/>
    <w:rsid w:val="10613C9B"/>
    <w:rsid w:val="10990D12"/>
    <w:rsid w:val="10A17392"/>
    <w:rsid w:val="10A67B5B"/>
    <w:rsid w:val="10A81C44"/>
    <w:rsid w:val="10AB0001"/>
    <w:rsid w:val="10BA4CBF"/>
    <w:rsid w:val="10C6703D"/>
    <w:rsid w:val="10CB554B"/>
    <w:rsid w:val="10CC70B6"/>
    <w:rsid w:val="10D265DB"/>
    <w:rsid w:val="10EF74F9"/>
    <w:rsid w:val="10FB2088"/>
    <w:rsid w:val="1120155D"/>
    <w:rsid w:val="11461138"/>
    <w:rsid w:val="116A7FC2"/>
    <w:rsid w:val="11765355"/>
    <w:rsid w:val="118F5C26"/>
    <w:rsid w:val="119E12CC"/>
    <w:rsid w:val="11C049F1"/>
    <w:rsid w:val="11F0089D"/>
    <w:rsid w:val="120378A4"/>
    <w:rsid w:val="12094873"/>
    <w:rsid w:val="124379B3"/>
    <w:rsid w:val="125536E3"/>
    <w:rsid w:val="12617F82"/>
    <w:rsid w:val="127101E3"/>
    <w:rsid w:val="12CD0BFB"/>
    <w:rsid w:val="12EF2557"/>
    <w:rsid w:val="12F41CDD"/>
    <w:rsid w:val="12FF1165"/>
    <w:rsid w:val="13006381"/>
    <w:rsid w:val="13097A34"/>
    <w:rsid w:val="13332CF5"/>
    <w:rsid w:val="135C511C"/>
    <w:rsid w:val="13663A21"/>
    <w:rsid w:val="137D0D2E"/>
    <w:rsid w:val="13A1778B"/>
    <w:rsid w:val="13AA0B20"/>
    <w:rsid w:val="13B27EDA"/>
    <w:rsid w:val="13B71816"/>
    <w:rsid w:val="13BC5C96"/>
    <w:rsid w:val="13C562F1"/>
    <w:rsid w:val="13C61423"/>
    <w:rsid w:val="13FC4A12"/>
    <w:rsid w:val="140B5F2A"/>
    <w:rsid w:val="1447279C"/>
    <w:rsid w:val="14747385"/>
    <w:rsid w:val="1477210A"/>
    <w:rsid w:val="148A20B1"/>
    <w:rsid w:val="149900EE"/>
    <w:rsid w:val="149A6078"/>
    <w:rsid w:val="14C34F24"/>
    <w:rsid w:val="14D71E01"/>
    <w:rsid w:val="15316BDD"/>
    <w:rsid w:val="155F756F"/>
    <w:rsid w:val="15693353"/>
    <w:rsid w:val="156E5BE9"/>
    <w:rsid w:val="159E5549"/>
    <w:rsid w:val="15A008CA"/>
    <w:rsid w:val="15A32F91"/>
    <w:rsid w:val="15A36D6C"/>
    <w:rsid w:val="15AE790F"/>
    <w:rsid w:val="15E41E5C"/>
    <w:rsid w:val="15EF08E9"/>
    <w:rsid w:val="1626204C"/>
    <w:rsid w:val="162A3979"/>
    <w:rsid w:val="16581683"/>
    <w:rsid w:val="166C4E7A"/>
    <w:rsid w:val="166E5AA4"/>
    <w:rsid w:val="167509E2"/>
    <w:rsid w:val="16D2320F"/>
    <w:rsid w:val="16D60F60"/>
    <w:rsid w:val="16DD1EB6"/>
    <w:rsid w:val="17356B9A"/>
    <w:rsid w:val="17800CDD"/>
    <w:rsid w:val="17881AEE"/>
    <w:rsid w:val="180D3D85"/>
    <w:rsid w:val="18491501"/>
    <w:rsid w:val="185F346B"/>
    <w:rsid w:val="1874317C"/>
    <w:rsid w:val="188F709B"/>
    <w:rsid w:val="18A82CE9"/>
    <w:rsid w:val="18BF63FE"/>
    <w:rsid w:val="18C95438"/>
    <w:rsid w:val="18FF07D3"/>
    <w:rsid w:val="19013A29"/>
    <w:rsid w:val="19061443"/>
    <w:rsid w:val="19116BA8"/>
    <w:rsid w:val="191F4712"/>
    <w:rsid w:val="192A0D10"/>
    <w:rsid w:val="192F06AF"/>
    <w:rsid w:val="19324ADF"/>
    <w:rsid w:val="193D65D2"/>
    <w:rsid w:val="193E101D"/>
    <w:rsid w:val="195F32C8"/>
    <w:rsid w:val="196828FD"/>
    <w:rsid w:val="196C76F2"/>
    <w:rsid w:val="19EB12C9"/>
    <w:rsid w:val="19FE255B"/>
    <w:rsid w:val="1A1204E7"/>
    <w:rsid w:val="1A176D69"/>
    <w:rsid w:val="1A383CBF"/>
    <w:rsid w:val="1A4A2927"/>
    <w:rsid w:val="1A574EEE"/>
    <w:rsid w:val="1A716473"/>
    <w:rsid w:val="1A9261AE"/>
    <w:rsid w:val="1AD357F0"/>
    <w:rsid w:val="1AF4250B"/>
    <w:rsid w:val="1B0325A4"/>
    <w:rsid w:val="1B0336FC"/>
    <w:rsid w:val="1B23320A"/>
    <w:rsid w:val="1B433C1C"/>
    <w:rsid w:val="1B4B6EDB"/>
    <w:rsid w:val="1B5B0B3A"/>
    <w:rsid w:val="1B83304F"/>
    <w:rsid w:val="1B8F7888"/>
    <w:rsid w:val="1BDC2E40"/>
    <w:rsid w:val="1BF7712A"/>
    <w:rsid w:val="1BFF54A2"/>
    <w:rsid w:val="1C3E53C4"/>
    <w:rsid w:val="1C860CEA"/>
    <w:rsid w:val="1C96246F"/>
    <w:rsid w:val="1CC260CF"/>
    <w:rsid w:val="1CD03DBF"/>
    <w:rsid w:val="1CF606CD"/>
    <w:rsid w:val="1CFE2E4E"/>
    <w:rsid w:val="1CFE5C7E"/>
    <w:rsid w:val="1D446D57"/>
    <w:rsid w:val="1D456CB0"/>
    <w:rsid w:val="1D4B3AF6"/>
    <w:rsid w:val="1D570900"/>
    <w:rsid w:val="1D6B05F6"/>
    <w:rsid w:val="1D85546D"/>
    <w:rsid w:val="1D8C4DCC"/>
    <w:rsid w:val="1DBD4D02"/>
    <w:rsid w:val="1DFA616F"/>
    <w:rsid w:val="1E206BFF"/>
    <w:rsid w:val="1E3E04E2"/>
    <w:rsid w:val="1E3E386E"/>
    <w:rsid w:val="1E5921FA"/>
    <w:rsid w:val="1E7E3C6A"/>
    <w:rsid w:val="1E853A13"/>
    <w:rsid w:val="1EB168BC"/>
    <w:rsid w:val="1EC743DC"/>
    <w:rsid w:val="1ED35A57"/>
    <w:rsid w:val="1EF328AA"/>
    <w:rsid w:val="1F595EBC"/>
    <w:rsid w:val="1F650D3F"/>
    <w:rsid w:val="1F851B60"/>
    <w:rsid w:val="1F8C40AD"/>
    <w:rsid w:val="1F943744"/>
    <w:rsid w:val="1F9847C7"/>
    <w:rsid w:val="1FA330D0"/>
    <w:rsid w:val="1FDE0E64"/>
    <w:rsid w:val="20017185"/>
    <w:rsid w:val="201F5F97"/>
    <w:rsid w:val="20552676"/>
    <w:rsid w:val="205E5B3F"/>
    <w:rsid w:val="20A73C6F"/>
    <w:rsid w:val="20FD44F0"/>
    <w:rsid w:val="21030101"/>
    <w:rsid w:val="21204D3F"/>
    <w:rsid w:val="2131341A"/>
    <w:rsid w:val="213E4D7F"/>
    <w:rsid w:val="2145260E"/>
    <w:rsid w:val="21602967"/>
    <w:rsid w:val="21B8661C"/>
    <w:rsid w:val="21BD05D5"/>
    <w:rsid w:val="21C73079"/>
    <w:rsid w:val="21E4518E"/>
    <w:rsid w:val="21F2404F"/>
    <w:rsid w:val="21FD64A6"/>
    <w:rsid w:val="2203624D"/>
    <w:rsid w:val="220C3334"/>
    <w:rsid w:val="220D1CD7"/>
    <w:rsid w:val="222333B6"/>
    <w:rsid w:val="22301A93"/>
    <w:rsid w:val="224B7123"/>
    <w:rsid w:val="2253745B"/>
    <w:rsid w:val="22585F84"/>
    <w:rsid w:val="230D2A2E"/>
    <w:rsid w:val="231006CB"/>
    <w:rsid w:val="23273500"/>
    <w:rsid w:val="23274DB9"/>
    <w:rsid w:val="232E30DA"/>
    <w:rsid w:val="23494DA9"/>
    <w:rsid w:val="234B21CA"/>
    <w:rsid w:val="23534115"/>
    <w:rsid w:val="23676FFC"/>
    <w:rsid w:val="236B13B6"/>
    <w:rsid w:val="2377466B"/>
    <w:rsid w:val="23894B60"/>
    <w:rsid w:val="23942388"/>
    <w:rsid w:val="23D32180"/>
    <w:rsid w:val="23DF6A26"/>
    <w:rsid w:val="23FE086B"/>
    <w:rsid w:val="24140120"/>
    <w:rsid w:val="243B11DC"/>
    <w:rsid w:val="24673567"/>
    <w:rsid w:val="24862234"/>
    <w:rsid w:val="2489188E"/>
    <w:rsid w:val="249B304D"/>
    <w:rsid w:val="24A47ECF"/>
    <w:rsid w:val="24E126D5"/>
    <w:rsid w:val="24F127B7"/>
    <w:rsid w:val="254379B8"/>
    <w:rsid w:val="254A22E7"/>
    <w:rsid w:val="255E2822"/>
    <w:rsid w:val="256047D1"/>
    <w:rsid w:val="25847246"/>
    <w:rsid w:val="25871511"/>
    <w:rsid w:val="25BB41C8"/>
    <w:rsid w:val="25CF3592"/>
    <w:rsid w:val="26130B48"/>
    <w:rsid w:val="26182B07"/>
    <w:rsid w:val="26681C08"/>
    <w:rsid w:val="26753D4C"/>
    <w:rsid w:val="26786155"/>
    <w:rsid w:val="26AE3095"/>
    <w:rsid w:val="26B17EFA"/>
    <w:rsid w:val="26B23104"/>
    <w:rsid w:val="26B304EB"/>
    <w:rsid w:val="26BE6A18"/>
    <w:rsid w:val="26F57C1E"/>
    <w:rsid w:val="27012B4B"/>
    <w:rsid w:val="27087DF0"/>
    <w:rsid w:val="27091BE1"/>
    <w:rsid w:val="2736760F"/>
    <w:rsid w:val="273719DF"/>
    <w:rsid w:val="2752278B"/>
    <w:rsid w:val="27996CAB"/>
    <w:rsid w:val="27AE73F2"/>
    <w:rsid w:val="27C833E8"/>
    <w:rsid w:val="27CD4D3B"/>
    <w:rsid w:val="27EB7A98"/>
    <w:rsid w:val="27EC3BE7"/>
    <w:rsid w:val="280A089B"/>
    <w:rsid w:val="281140CC"/>
    <w:rsid w:val="282D2BAB"/>
    <w:rsid w:val="2889743D"/>
    <w:rsid w:val="289D67C9"/>
    <w:rsid w:val="28AC0E59"/>
    <w:rsid w:val="28B952DF"/>
    <w:rsid w:val="28C541F0"/>
    <w:rsid w:val="28DD57EA"/>
    <w:rsid w:val="28FD00AC"/>
    <w:rsid w:val="290659A8"/>
    <w:rsid w:val="29111B82"/>
    <w:rsid w:val="292B6ADD"/>
    <w:rsid w:val="29361D56"/>
    <w:rsid w:val="29406ACC"/>
    <w:rsid w:val="2998368C"/>
    <w:rsid w:val="29BF036F"/>
    <w:rsid w:val="29C9144C"/>
    <w:rsid w:val="29CD0C15"/>
    <w:rsid w:val="29EB7BC9"/>
    <w:rsid w:val="29F17D42"/>
    <w:rsid w:val="29F5561A"/>
    <w:rsid w:val="29F6324E"/>
    <w:rsid w:val="29F83EBD"/>
    <w:rsid w:val="2A17701F"/>
    <w:rsid w:val="2A2B0181"/>
    <w:rsid w:val="2A2E12EA"/>
    <w:rsid w:val="2A49652E"/>
    <w:rsid w:val="2A497B7D"/>
    <w:rsid w:val="2A5B5FED"/>
    <w:rsid w:val="2A6022E4"/>
    <w:rsid w:val="2A636507"/>
    <w:rsid w:val="2A8F6E0F"/>
    <w:rsid w:val="2A913237"/>
    <w:rsid w:val="2AA928BF"/>
    <w:rsid w:val="2AAB427F"/>
    <w:rsid w:val="2AED4E2B"/>
    <w:rsid w:val="2B0A2821"/>
    <w:rsid w:val="2B116D2E"/>
    <w:rsid w:val="2B355B0C"/>
    <w:rsid w:val="2B423772"/>
    <w:rsid w:val="2B441109"/>
    <w:rsid w:val="2B6304FF"/>
    <w:rsid w:val="2B6921EB"/>
    <w:rsid w:val="2B733A5A"/>
    <w:rsid w:val="2BC85B84"/>
    <w:rsid w:val="2BFE4D84"/>
    <w:rsid w:val="2C0C457B"/>
    <w:rsid w:val="2C3E22B4"/>
    <w:rsid w:val="2C57234B"/>
    <w:rsid w:val="2C844ACD"/>
    <w:rsid w:val="2CD01A89"/>
    <w:rsid w:val="2CD4301B"/>
    <w:rsid w:val="2CDE03EA"/>
    <w:rsid w:val="2CF405B7"/>
    <w:rsid w:val="2D036845"/>
    <w:rsid w:val="2D3A5A79"/>
    <w:rsid w:val="2D807BE3"/>
    <w:rsid w:val="2D935498"/>
    <w:rsid w:val="2D960FD0"/>
    <w:rsid w:val="2D9C5790"/>
    <w:rsid w:val="2DC7118A"/>
    <w:rsid w:val="2DC91A5F"/>
    <w:rsid w:val="2DD3062C"/>
    <w:rsid w:val="2E0A163E"/>
    <w:rsid w:val="2E1861E9"/>
    <w:rsid w:val="2E1A1DAE"/>
    <w:rsid w:val="2E4423BC"/>
    <w:rsid w:val="2E5E354B"/>
    <w:rsid w:val="2E934D7B"/>
    <w:rsid w:val="2EA9088F"/>
    <w:rsid w:val="2EB21E3A"/>
    <w:rsid w:val="2EB47722"/>
    <w:rsid w:val="2EB575F2"/>
    <w:rsid w:val="2EC53888"/>
    <w:rsid w:val="2ED003B1"/>
    <w:rsid w:val="2EE6537A"/>
    <w:rsid w:val="2F4658F7"/>
    <w:rsid w:val="2F6157B6"/>
    <w:rsid w:val="2F73672D"/>
    <w:rsid w:val="2FB40DAA"/>
    <w:rsid w:val="2FB71626"/>
    <w:rsid w:val="2FBF0273"/>
    <w:rsid w:val="2FC00586"/>
    <w:rsid w:val="2FC35981"/>
    <w:rsid w:val="2FD60321"/>
    <w:rsid w:val="2FFD6655"/>
    <w:rsid w:val="300B7014"/>
    <w:rsid w:val="30286AE5"/>
    <w:rsid w:val="3030410C"/>
    <w:rsid w:val="3037489E"/>
    <w:rsid w:val="30554E29"/>
    <w:rsid w:val="3062616A"/>
    <w:rsid w:val="3063327C"/>
    <w:rsid w:val="30671DB9"/>
    <w:rsid w:val="306E7C28"/>
    <w:rsid w:val="309C68FA"/>
    <w:rsid w:val="30A65EE6"/>
    <w:rsid w:val="30B1416E"/>
    <w:rsid w:val="30BA2B51"/>
    <w:rsid w:val="30BD6874"/>
    <w:rsid w:val="30CC2905"/>
    <w:rsid w:val="30EB3AD8"/>
    <w:rsid w:val="30F945FF"/>
    <w:rsid w:val="310E7433"/>
    <w:rsid w:val="31235BFC"/>
    <w:rsid w:val="31311196"/>
    <w:rsid w:val="313A2A06"/>
    <w:rsid w:val="313D0E42"/>
    <w:rsid w:val="31484C88"/>
    <w:rsid w:val="315316A2"/>
    <w:rsid w:val="31777FE1"/>
    <w:rsid w:val="318A5150"/>
    <w:rsid w:val="318F7646"/>
    <w:rsid w:val="31927DDB"/>
    <w:rsid w:val="319945B2"/>
    <w:rsid w:val="31B913BA"/>
    <w:rsid w:val="321E22F2"/>
    <w:rsid w:val="32246947"/>
    <w:rsid w:val="322F37A1"/>
    <w:rsid w:val="324C3ABF"/>
    <w:rsid w:val="328F1F00"/>
    <w:rsid w:val="32A418C0"/>
    <w:rsid w:val="32C0386A"/>
    <w:rsid w:val="32DF7714"/>
    <w:rsid w:val="32F63BD5"/>
    <w:rsid w:val="32FA6C75"/>
    <w:rsid w:val="330E35C3"/>
    <w:rsid w:val="330E59C5"/>
    <w:rsid w:val="332B21BB"/>
    <w:rsid w:val="3343134C"/>
    <w:rsid w:val="334B181A"/>
    <w:rsid w:val="334F550D"/>
    <w:rsid w:val="335719DE"/>
    <w:rsid w:val="33616C08"/>
    <w:rsid w:val="33666AC5"/>
    <w:rsid w:val="33CB6AC5"/>
    <w:rsid w:val="33E81489"/>
    <w:rsid w:val="34414D13"/>
    <w:rsid w:val="34430EF3"/>
    <w:rsid w:val="34545604"/>
    <w:rsid w:val="345C0152"/>
    <w:rsid w:val="34A46877"/>
    <w:rsid w:val="34AD078E"/>
    <w:rsid w:val="34AF4725"/>
    <w:rsid w:val="34BD007C"/>
    <w:rsid w:val="34DD4776"/>
    <w:rsid w:val="34FF4CFD"/>
    <w:rsid w:val="35423F62"/>
    <w:rsid w:val="35451B97"/>
    <w:rsid w:val="354C558D"/>
    <w:rsid w:val="355C053A"/>
    <w:rsid w:val="356A66C1"/>
    <w:rsid w:val="356D5388"/>
    <w:rsid w:val="356F360E"/>
    <w:rsid w:val="35841DE5"/>
    <w:rsid w:val="358A2FFA"/>
    <w:rsid w:val="35A2365E"/>
    <w:rsid w:val="35BD4BE3"/>
    <w:rsid w:val="35C36A78"/>
    <w:rsid w:val="35C92BC0"/>
    <w:rsid w:val="35CE265D"/>
    <w:rsid w:val="35CE3E0E"/>
    <w:rsid w:val="35E97A18"/>
    <w:rsid w:val="35F07042"/>
    <w:rsid w:val="35F676A4"/>
    <w:rsid w:val="361909F0"/>
    <w:rsid w:val="36414B7D"/>
    <w:rsid w:val="36662A95"/>
    <w:rsid w:val="36774E08"/>
    <w:rsid w:val="367C1F85"/>
    <w:rsid w:val="3684230E"/>
    <w:rsid w:val="368F6A3C"/>
    <w:rsid w:val="36CF30C0"/>
    <w:rsid w:val="36F131B8"/>
    <w:rsid w:val="36F47F52"/>
    <w:rsid w:val="370449D4"/>
    <w:rsid w:val="37140389"/>
    <w:rsid w:val="37326316"/>
    <w:rsid w:val="37456982"/>
    <w:rsid w:val="37494B97"/>
    <w:rsid w:val="374D596A"/>
    <w:rsid w:val="379428AD"/>
    <w:rsid w:val="37A51124"/>
    <w:rsid w:val="37B571BB"/>
    <w:rsid w:val="37CB6DEA"/>
    <w:rsid w:val="37D74DCF"/>
    <w:rsid w:val="37E87C80"/>
    <w:rsid w:val="37EA433D"/>
    <w:rsid w:val="383618A8"/>
    <w:rsid w:val="38384EC4"/>
    <w:rsid w:val="38641B07"/>
    <w:rsid w:val="38741F0E"/>
    <w:rsid w:val="387939C8"/>
    <w:rsid w:val="38A04AB1"/>
    <w:rsid w:val="38A86AC3"/>
    <w:rsid w:val="38AC120B"/>
    <w:rsid w:val="38CB5C07"/>
    <w:rsid w:val="38E45351"/>
    <w:rsid w:val="38E5211F"/>
    <w:rsid w:val="39022F42"/>
    <w:rsid w:val="390E59CE"/>
    <w:rsid w:val="392A4BA7"/>
    <w:rsid w:val="392E07A0"/>
    <w:rsid w:val="39593902"/>
    <w:rsid w:val="396401D4"/>
    <w:rsid w:val="398110EB"/>
    <w:rsid w:val="398372A8"/>
    <w:rsid w:val="398C3730"/>
    <w:rsid w:val="398D3D61"/>
    <w:rsid w:val="399C2C96"/>
    <w:rsid w:val="39B51CA2"/>
    <w:rsid w:val="39CD48C1"/>
    <w:rsid w:val="39E074AA"/>
    <w:rsid w:val="39F07CBA"/>
    <w:rsid w:val="39FC3D96"/>
    <w:rsid w:val="3A0E401B"/>
    <w:rsid w:val="3A5179F7"/>
    <w:rsid w:val="3A8024DE"/>
    <w:rsid w:val="3AA34517"/>
    <w:rsid w:val="3AAA00CF"/>
    <w:rsid w:val="3ABD59FD"/>
    <w:rsid w:val="3ACE48B2"/>
    <w:rsid w:val="3B021C51"/>
    <w:rsid w:val="3B172655"/>
    <w:rsid w:val="3B232C47"/>
    <w:rsid w:val="3B293484"/>
    <w:rsid w:val="3B2C2418"/>
    <w:rsid w:val="3B3D31D5"/>
    <w:rsid w:val="3B6E6CF7"/>
    <w:rsid w:val="3B753C42"/>
    <w:rsid w:val="3B9F326E"/>
    <w:rsid w:val="3BCA6692"/>
    <w:rsid w:val="3C020661"/>
    <w:rsid w:val="3C0352EF"/>
    <w:rsid w:val="3C096364"/>
    <w:rsid w:val="3C1508C8"/>
    <w:rsid w:val="3C1D503F"/>
    <w:rsid w:val="3C447E49"/>
    <w:rsid w:val="3C796121"/>
    <w:rsid w:val="3C850B8E"/>
    <w:rsid w:val="3CA257A8"/>
    <w:rsid w:val="3CA41C21"/>
    <w:rsid w:val="3CB6189E"/>
    <w:rsid w:val="3CC25D1C"/>
    <w:rsid w:val="3CD31B54"/>
    <w:rsid w:val="3CDD2778"/>
    <w:rsid w:val="3CF275EF"/>
    <w:rsid w:val="3CF67BCC"/>
    <w:rsid w:val="3D0E0543"/>
    <w:rsid w:val="3D51799F"/>
    <w:rsid w:val="3D6709D3"/>
    <w:rsid w:val="3D7C58E6"/>
    <w:rsid w:val="3D823736"/>
    <w:rsid w:val="3D9C48AB"/>
    <w:rsid w:val="3DA13081"/>
    <w:rsid w:val="3DA92555"/>
    <w:rsid w:val="3DD15960"/>
    <w:rsid w:val="3E0C2BE9"/>
    <w:rsid w:val="3E121BEB"/>
    <w:rsid w:val="3E1A5B21"/>
    <w:rsid w:val="3E3A570E"/>
    <w:rsid w:val="3E646581"/>
    <w:rsid w:val="3E747553"/>
    <w:rsid w:val="3E785D63"/>
    <w:rsid w:val="3EB733D7"/>
    <w:rsid w:val="3EC17A78"/>
    <w:rsid w:val="3EC627EA"/>
    <w:rsid w:val="3ECA6635"/>
    <w:rsid w:val="3EEE5831"/>
    <w:rsid w:val="3EF36EC9"/>
    <w:rsid w:val="3F214E40"/>
    <w:rsid w:val="3F2A29BD"/>
    <w:rsid w:val="3F3B001F"/>
    <w:rsid w:val="3F602A02"/>
    <w:rsid w:val="3F6C11FF"/>
    <w:rsid w:val="3F7F4867"/>
    <w:rsid w:val="3F8F1D2B"/>
    <w:rsid w:val="3FAE3DA4"/>
    <w:rsid w:val="3FCD2881"/>
    <w:rsid w:val="3FDB6D34"/>
    <w:rsid w:val="3FE2480C"/>
    <w:rsid w:val="3FE377A4"/>
    <w:rsid w:val="3FF73E2D"/>
    <w:rsid w:val="401179C3"/>
    <w:rsid w:val="402A48A7"/>
    <w:rsid w:val="4055391E"/>
    <w:rsid w:val="40767E1F"/>
    <w:rsid w:val="407F67D3"/>
    <w:rsid w:val="408074AF"/>
    <w:rsid w:val="409E49BC"/>
    <w:rsid w:val="40AE41D9"/>
    <w:rsid w:val="40AF0000"/>
    <w:rsid w:val="40AF6C25"/>
    <w:rsid w:val="40B76E20"/>
    <w:rsid w:val="40B817E6"/>
    <w:rsid w:val="40C32E1C"/>
    <w:rsid w:val="40C551CE"/>
    <w:rsid w:val="40CD6E37"/>
    <w:rsid w:val="40DB6073"/>
    <w:rsid w:val="40DC68A2"/>
    <w:rsid w:val="41065AEE"/>
    <w:rsid w:val="413B5299"/>
    <w:rsid w:val="41580FA7"/>
    <w:rsid w:val="415F6BB3"/>
    <w:rsid w:val="417F72A0"/>
    <w:rsid w:val="41B16C9E"/>
    <w:rsid w:val="41C81F56"/>
    <w:rsid w:val="42270E8D"/>
    <w:rsid w:val="423C09AD"/>
    <w:rsid w:val="42437A3E"/>
    <w:rsid w:val="424B1F31"/>
    <w:rsid w:val="42543FD3"/>
    <w:rsid w:val="42623B80"/>
    <w:rsid w:val="42B60821"/>
    <w:rsid w:val="42C05166"/>
    <w:rsid w:val="42D11320"/>
    <w:rsid w:val="42D24813"/>
    <w:rsid w:val="42F6256E"/>
    <w:rsid w:val="43014595"/>
    <w:rsid w:val="43426B5C"/>
    <w:rsid w:val="43617DEC"/>
    <w:rsid w:val="4376760C"/>
    <w:rsid w:val="43802418"/>
    <w:rsid w:val="43881DE5"/>
    <w:rsid w:val="43B6698F"/>
    <w:rsid w:val="43BC37E0"/>
    <w:rsid w:val="43C70ADF"/>
    <w:rsid w:val="43FE10C5"/>
    <w:rsid w:val="44095BD1"/>
    <w:rsid w:val="44140F7A"/>
    <w:rsid w:val="44284A45"/>
    <w:rsid w:val="443C36C2"/>
    <w:rsid w:val="44534EDB"/>
    <w:rsid w:val="44753480"/>
    <w:rsid w:val="447E62A9"/>
    <w:rsid w:val="44811BEB"/>
    <w:rsid w:val="449A2CFC"/>
    <w:rsid w:val="44DD0E93"/>
    <w:rsid w:val="44F30BFC"/>
    <w:rsid w:val="452329BB"/>
    <w:rsid w:val="45251A95"/>
    <w:rsid w:val="452728F2"/>
    <w:rsid w:val="4565667F"/>
    <w:rsid w:val="45EA1272"/>
    <w:rsid w:val="461D531A"/>
    <w:rsid w:val="465334F1"/>
    <w:rsid w:val="46564538"/>
    <w:rsid w:val="466277F0"/>
    <w:rsid w:val="469D73C6"/>
    <w:rsid w:val="46A7188F"/>
    <w:rsid w:val="46C13DE4"/>
    <w:rsid w:val="46E757BA"/>
    <w:rsid w:val="47086E8C"/>
    <w:rsid w:val="47213DEF"/>
    <w:rsid w:val="473A4B22"/>
    <w:rsid w:val="473E556C"/>
    <w:rsid w:val="474E7DCE"/>
    <w:rsid w:val="47537FBD"/>
    <w:rsid w:val="4783405D"/>
    <w:rsid w:val="479E0D55"/>
    <w:rsid w:val="47B275F4"/>
    <w:rsid w:val="47DB06A9"/>
    <w:rsid w:val="47E0351C"/>
    <w:rsid w:val="483F1A4B"/>
    <w:rsid w:val="48592A3D"/>
    <w:rsid w:val="485F0889"/>
    <w:rsid w:val="48726BB5"/>
    <w:rsid w:val="48AC229B"/>
    <w:rsid w:val="48D146CB"/>
    <w:rsid w:val="49035AF9"/>
    <w:rsid w:val="49046A74"/>
    <w:rsid w:val="490D6A4D"/>
    <w:rsid w:val="491239DA"/>
    <w:rsid w:val="493064D3"/>
    <w:rsid w:val="493E65E0"/>
    <w:rsid w:val="495565E9"/>
    <w:rsid w:val="4979120A"/>
    <w:rsid w:val="498D7A6A"/>
    <w:rsid w:val="499E0CB1"/>
    <w:rsid w:val="49A50FD1"/>
    <w:rsid w:val="49AB7605"/>
    <w:rsid w:val="49AF5398"/>
    <w:rsid w:val="49B72190"/>
    <w:rsid w:val="49B95055"/>
    <w:rsid w:val="49BB0E5B"/>
    <w:rsid w:val="49C246BC"/>
    <w:rsid w:val="49D615B9"/>
    <w:rsid w:val="49DF0FCF"/>
    <w:rsid w:val="49E55D1C"/>
    <w:rsid w:val="4A364065"/>
    <w:rsid w:val="4A482622"/>
    <w:rsid w:val="4A653F55"/>
    <w:rsid w:val="4A82670C"/>
    <w:rsid w:val="4A886A5A"/>
    <w:rsid w:val="4AA91EEB"/>
    <w:rsid w:val="4AAA7B9C"/>
    <w:rsid w:val="4AAF6DD6"/>
    <w:rsid w:val="4AC650AB"/>
    <w:rsid w:val="4ADB2EF0"/>
    <w:rsid w:val="4ADF590D"/>
    <w:rsid w:val="4AEE3533"/>
    <w:rsid w:val="4B08214C"/>
    <w:rsid w:val="4B105006"/>
    <w:rsid w:val="4B1459D6"/>
    <w:rsid w:val="4B1E7093"/>
    <w:rsid w:val="4B211109"/>
    <w:rsid w:val="4B420D56"/>
    <w:rsid w:val="4B5A1F62"/>
    <w:rsid w:val="4B605F73"/>
    <w:rsid w:val="4B667DDC"/>
    <w:rsid w:val="4B781928"/>
    <w:rsid w:val="4B7A3386"/>
    <w:rsid w:val="4B99115F"/>
    <w:rsid w:val="4BB00ED0"/>
    <w:rsid w:val="4C203A05"/>
    <w:rsid w:val="4C261ED1"/>
    <w:rsid w:val="4C334DF4"/>
    <w:rsid w:val="4C3C4A99"/>
    <w:rsid w:val="4C420B26"/>
    <w:rsid w:val="4C4F2AD1"/>
    <w:rsid w:val="4C514FE0"/>
    <w:rsid w:val="4C5C23B6"/>
    <w:rsid w:val="4C8361E9"/>
    <w:rsid w:val="4C891FD4"/>
    <w:rsid w:val="4C9270D5"/>
    <w:rsid w:val="4C9463A6"/>
    <w:rsid w:val="4C9D008D"/>
    <w:rsid w:val="4CB5051F"/>
    <w:rsid w:val="4CBB5D6E"/>
    <w:rsid w:val="4CC54157"/>
    <w:rsid w:val="4CC81199"/>
    <w:rsid w:val="4CE74185"/>
    <w:rsid w:val="4D114264"/>
    <w:rsid w:val="4D337EC4"/>
    <w:rsid w:val="4D4B180F"/>
    <w:rsid w:val="4D4D039E"/>
    <w:rsid w:val="4D551F13"/>
    <w:rsid w:val="4D6950DC"/>
    <w:rsid w:val="4D6B0078"/>
    <w:rsid w:val="4D7F4F8B"/>
    <w:rsid w:val="4D9856DE"/>
    <w:rsid w:val="4D986461"/>
    <w:rsid w:val="4DC00DAC"/>
    <w:rsid w:val="4DD86858"/>
    <w:rsid w:val="4DE8370E"/>
    <w:rsid w:val="4E1711FD"/>
    <w:rsid w:val="4E207C43"/>
    <w:rsid w:val="4E7A5105"/>
    <w:rsid w:val="4E863E1D"/>
    <w:rsid w:val="4EE374B2"/>
    <w:rsid w:val="4EE40A96"/>
    <w:rsid w:val="4EE80B08"/>
    <w:rsid w:val="4EE96DA4"/>
    <w:rsid w:val="4F3C04B1"/>
    <w:rsid w:val="4F624D5E"/>
    <w:rsid w:val="4FAC0FFA"/>
    <w:rsid w:val="4FC20E0E"/>
    <w:rsid w:val="4FE24002"/>
    <w:rsid w:val="4FF3029B"/>
    <w:rsid w:val="50024EE1"/>
    <w:rsid w:val="50157FE1"/>
    <w:rsid w:val="5058507B"/>
    <w:rsid w:val="507549F7"/>
    <w:rsid w:val="50A37D65"/>
    <w:rsid w:val="50C032BE"/>
    <w:rsid w:val="50D86394"/>
    <w:rsid w:val="50FA2116"/>
    <w:rsid w:val="511D4DBE"/>
    <w:rsid w:val="51377A0F"/>
    <w:rsid w:val="516D2716"/>
    <w:rsid w:val="516E79EA"/>
    <w:rsid w:val="517E5064"/>
    <w:rsid w:val="5184095B"/>
    <w:rsid w:val="51CE05B8"/>
    <w:rsid w:val="51D12C01"/>
    <w:rsid w:val="51DC37C9"/>
    <w:rsid w:val="520226B3"/>
    <w:rsid w:val="5268236B"/>
    <w:rsid w:val="526A04AF"/>
    <w:rsid w:val="52852D73"/>
    <w:rsid w:val="529A0E37"/>
    <w:rsid w:val="52A46327"/>
    <w:rsid w:val="52B21B59"/>
    <w:rsid w:val="52D42B8C"/>
    <w:rsid w:val="52DC7BB7"/>
    <w:rsid w:val="52F85837"/>
    <w:rsid w:val="53073724"/>
    <w:rsid w:val="53292404"/>
    <w:rsid w:val="53450887"/>
    <w:rsid w:val="5371574B"/>
    <w:rsid w:val="538B4884"/>
    <w:rsid w:val="53A05D2E"/>
    <w:rsid w:val="53B24BD6"/>
    <w:rsid w:val="53BE6650"/>
    <w:rsid w:val="53DA7D9A"/>
    <w:rsid w:val="53DC5390"/>
    <w:rsid w:val="53FE7A79"/>
    <w:rsid w:val="54076CEA"/>
    <w:rsid w:val="540A18BE"/>
    <w:rsid w:val="54101A90"/>
    <w:rsid w:val="541666E0"/>
    <w:rsid w:val="54225499"/>
    <w:rsid w:val="543B2438"/>
    <w:rsid w:val="543C792C"/>
    <w:rsid w:val="54420CBA"/>
    <w:rsid w:val="544A6DE2"/>
    <w:rsid w:val="54925294"/>
    <w:rsid w:val="54BF5C62"/>
    <w:rsid w:val="54C6651D"/>
    <w:rsid w:val="554F40AA"/>
    <w:rsid w:val="555F2FD8"/>
    <w:rsid w:val="555F5CDC"/>
    <w:rsid w:val="558A6630"/>
    <w:rsid w:val="55A56760"/>
    <w:rsid w:val="55BA5921"/>
    <w:rsid w:val="55C06E40"/>
    <w:rsid w:val="55D27324"/>
    <w:rsid w:val="55D933B8"/>
    <w:rsid w:val="55DC7AB5"/>
    <w:rsid w:val="55DE4B1F"/>
    <w:rsid w:val="55E3217E"/>
    <w:rsid w:val="56161787"/>
    <w:rsid w:val="56200B7F"/>
    <w:rsid w:val="562653EC"/>
    <w:rsid w:val="565244D6"/>
    <w:rsid w:val="5657557D"/>
    <w:rsid w:val="56777341"/>
    <w:rsid w:val="56B0432C"/>
    <w:rsid w:val="56C24531"/>
    <w:rsid w:val="56C510F7"/>
    <w:rsid w:val="56CF5706"/>
    <w:rsid w:val="56D82212"/>
    <w:rsid w:val="56DD393B"/>
    <w:rsid w:val="56E00119"/>
    <w:rsid w:val="56F0341F"/>
    <w:rsid w:val="56F050EB"/>
    <w:rsid w:val="56FC1B50"/>
    <w:rsid w:val="57001D7C"/>
    <w:rsid w:val="57284DAB"/>
    <w:rsid w:val="572B3ADE"/>
    <w:rsid w:val="573C771F"/>
    <w:rsid w:val="574F7A44"/>
    <w:rsid w:val="57546F28"/>
    <w:rsid w:val="575F2037"/>
    <w:rsid w:val="576323B4"/>
    <w:rsid w:val="576D4C00"/>
    <w:rsid w:val="57AC7C44"/>
    <w:rsid w:val="57B51814"/>
    <w:rsid w:val="57B7759E"/>
    <w:rsid w:val="57BE24ED"/>
    <w:rsid w:val="57C43B5F"/>
    <w:rsid w:val="57C66FF7"/>
    <w:rsid w:val="57CC5DB9"/>
    <w:rsid w:val="57D12A65"/>
    <w:rsid w:val="57D20798"/>
    <w:rsid w:val="57D216FA"/>
    <w:rsid w:val="57FD7A56"/>
    <w:rsid w:val="582B3688"/>
    <w:rsid w:val="58346E3E"/>
    <w:rsid w:val="585671BF"/>
    <w:rsid w:val="58962C39"/>
    <w:rsid w:val="589C6BEB"/>
    <w:rsid w:val="58B207A1"/>
    <w:rsid w:val="58B35F19"/>
    <w:rsid w:val="58BF34C3"/>
    <w:rsid w:val="58C00016"/>
    <w:rsid w:val="58FD32B6"/>
    <w:rsid w:val="590305D1"/>
    <w:rsid w:val="592D4D02"/>
    <w:rsid w:val="59344176"/>
    <w:rsid w:val="5935624E"/>
    <w:rsid w:val="59401CC2"/>
    <w:rsid w:val="594B6C47"/>
    <w:rsid w:val="59700CFA"/>
    <w:rsid w:val="59D439E0"/>
    <w:rsid w:val="59E7033A"/>
    <w:rsid w:val="59E85E60"/>
    <w:rsid w:val="59F815E4"/>
    <w:rsid w:val="5A0B63B3"/>
    <w:rsid w:val="5A144EA7"/>
    <w:rsid w:val="5A330053"/>
    <w:rsid w:val="5A481E8F"/>
    <w:rsid w:val="5A572069"/>
    <w:rsid w:val="5A5E265B"/>
    <w:rsid w:val="5A5F25C6"/>
    <w:rsid w:val="5AB93F01"/>
    <w:rsid w:val="5AB9529C"/>
    <w:rsid w:val="5ADC3C17"/>
    <w:rsid w:val="5B2B5F07"/>
    <w:rsid w:val="5B3A678D"/>
    <w:rsid w:val="5B461718"/>
    <w:rsid w:val="5B4B0DB7"/>
    <w:rsid w:val="5B4C7CDF"/>
    <w:rsid w:val="5B521253"/>
    <w:rsid w:val="5B534B96"/>
    <w:rsid w:val="5B796E68"/>
    <w:rsid w:val="5B7D3A5E"/>
    <w:rsid w:val="5BC049EE"/>
    <w:rsid w:val="5BD24C80"/>
    <w:rsid w:val="5BFC56D7"/>
    <w:rsid w:val="5C1900AA"/>
    <w:rsid w:val="5C194878"/>
    <w:rsid w:val="5C270796"/>
    <w:rsid w:val="5C3D34EF"/>
    <w:rsid w:val="5C585916"/>
    <w:rsid w:val="5C6253C3"/>
    <w:rsid w:val="5C625735"/>
    <w:rsid w:val="5C74581F"/>
    <w:rsid w:val="5CA9400C"/>
    <w:rsid w:val="5CD672FC"/>
    <w:rsid w:val="5D267466"/>
    <w:rsid w:val="5D3336CB"/>
    <w:rsid w:val="5D454EA7"/>
    <w:rsid w:val="5D5F4DAD"/>
    <w:rsid w:val="5D7D3450"/>
    <w:rsid w:val="5D8B03FA"/>
    <w:rsid w:val="5DB35958"/>
    <w:rsid w:val="5DB61BBD"/>
    <w:rsid w:val="5DD201A0"/>
    <w:rsid w:val="5DD90DD0"/>
    <w:rsid w:val="5DDB6365"/>
    <w:rsid w:val="5DE60909"/>
    <w:rsid w:val="5DF67AE4"/>
    <w:rsid w:val="5DFF0876"/>
    <w:rsid w:val="5E22645A"/>
    <w:rsid w:val="5E557F89"/>
    <w:rsid w:val="5E7A25EA"/>
    <w:rsid w:val="5E7B5886"/>
    <w:rsid w:val="5E7E4934"/>
    <w:rsid w:val="5E860AE0"/>
    <w:rsid w:val="5E9345EC"/>
    <w:rsid w:val="5EA776E3"/>
    <w:rsid w:val="5EA8179D"/>
    <w:rsid w:val="5EC92704"/>
    <w:rsid w:val="5F00261B"/>
    <w:rsid w:val="5F0968FC"/>
    <w:rsid w:val="5F1F45C5"/>
    <w:rsid w:val="5F236C44"/>
    <w:rsid w:val="5F2F04DF"/>
    <w:rsid w:val="5F345036"/>
    <w:rsid w:val="5F530CF6"/>
    <w:rsid w:val="5F6006F4"/>
    <w:rsid w:val="5F84452E"/>
    <w:rsid w:val="5F88259C"/>
    <w:rsid w:val="5F9E32FE"/>
    <w:rsid w:val="5FB26D36"/>
    <w:rsid w:val="5FC90B35"/>
    <w:rsid w:val="5FDD53F9"/>
    <w:rsid w:val="5FE33027"/>
    <w:rsid w:val="5FE34AB1"/>
    <w:rsid w:val="5FE5654B"/>
    <w:rsid w:val="603C4566"/>
    <w:rsid w:val="60440571"/>
    <w:rsid w:val="60651FD2"/>
    <w:rsid w:val="606F6CFA"/>
    <w:rsid w:val="607275AC"/>
    <w:rsid w:val="60815F18"/>
    <w:rsid w:val="60B106B5"/>
    <w:rsid w:val="60B44CEE"/>
    <w:rsid w:val="60DC4B94"/>
    <w:rsid w:val="60F4434E"/>
    <w:rsid w:val="610220DC"/>
    <w:rsid w:val="611B1C6A"/>
    <w:rsid w:val="614167FD"/>
    <w:rsid w:val="614A44BF"/>
    <w:rsid w:val="61560FED"/>
    <w:rsid w:val="616F0686"/>
    <w:rsid w:val="6183367F"/>
    <w:rsid w:val="61CB6A90"/>
    <w:rsid w:val="61CD3D31"/>
    <w:rsid w:val="61D5109C"/>
    <w:rsid w:val="61E109DD"/>
    <w:rsid w:val="61E77C15"/>
    <w:rsid w:val="61F23447"/>
    <w:rsid w:val="621039FB"/>
    <w:rsid w:val="62193202"/>
    <w:rsid w:val="621F0ED8"/>
    <w:rsid w:val="62202D17"/>
    <w:rsid w:val="622D6B2A"/>
    <w:rsid w:val="62481B92"/>
    <w:rsid w:val="624E15D7"/>
    <w:rsid w:val="62501E0F"/>
    <w:rsid w:val="62551BDE"/>
    <w:rsid w:val="62D12FFF"/>
    <w:rsid w:val="62DC0CDB"/>
    <w:rsid w:val="62F301FF"/>
    <w:rsid w:val="62F80320"/>
    <w:rsid w:val="632C670F"/>
    <w:rsid w:val="635C0A3D"/>
    <w:rsid w:val="637852A4"/>
    <w:rsid w:val="63940B27"/>
    <w:rsid w:val="63BB40B1"/>
    <w:rsid w:val="63D83E73"/>
    <w:rsid w:val="63DF3CDE"/>
    <w:rsid w:val="63ED6BD9"/>
    <w:rsid w:val="64075E4D"/>
    <w:rsid w:val="64082F0F"/>
    <w:rsid w:val="641A5C2E"/>
    <w:rsid w:val="641E629C"/>
    <w:rsid w:val="643B215D"/>
    <w:rsid w:val="643D64BD"/>
    <w:rsid w:val="64485E45"/>
    <w:rsid w:val="647B5D32"/>
    <w:rsid w:val="647B774D"/>
    <w:rsid w:val="647C6908"/>
    <w:rsid w:val="64A66F17"/>
    <w:rsid w:val="64B8057C"/>
    <w:rsid w:val="64DB73F4"/>
    <w:rsid w:val="64FD381A"/>
    <w:rsid w:val="653A3988"/>
    <w:rsid w:val="65485685"/>
    <w:rsid w:val="654D3BD4"/>
    <w:rsid w:val="65831BBB"/>
    <w:rsid w:val="658C7A7F"/>
    <w:rsid w:val="65B05E2D"/>
    <w:rsid w:val="65C31A9E"/>
    <w:rsid w:val="65D34A5D"/>
    <w:rsid w:val="65D64DC8"/>
    <w:rsid w:val="65D81342"/>
    <w:rsid w:val="65E106DD"/>
    <w:rsid w:val="65F749E8"/>
    <w:rsid w:val="66200AE7"/>
    <w:rsid w:val="66260CF7"/>
    <w:rsid w:val="663F228B"/>
    <w:rsid w:val="664C125E"/>
    <w:rsid w:val="6656373A"/>
    <w:rsid w:val="665D6344"/>
    <w:rsid w:val="665F6454"/>
    <w:rsid w:val="66946174"/>
    <w:rsid w:val="66A606C5"/>
    <w:rsid w:val="66A74F2A"/>
    <w:rsid w:val="66AB7A0C"/>
    <w:rsid w:val="66B5723B"/>
    <w:rsid w:val="66C540FF"/>
    <w:rsid w:val="66CE7125"/>
    <w:rsid w:val="66F05EC4"/>
    <w:rsid w:val="673E6A98"/>
    <w:rsid w:val="675D38C3"/>
    <w:rsid w:val="677943E0"/>
    <w:rsid w:val="677B6885"/>
    <w:rsid w:val="678D1C87"/>
    <w:rsid w:val="67A333A9"/>
    <w:rsid w:val="67F273D0"/>
    <w:rsid w:val="68006A50"/>
    <w:rsid w:val="680A393C"/>
    <w:rsid w:val="68603BF5"/>
    <w:rsid w:val="68814BFC"/>
    <w:rsid w:val="68CE2DD5"/>
    <w:rsid w:val="69073092"/>
    <w:rsid w:val="693D0CC2"/>
    <w:rsid w:val="693E47D6"/>
    <w:rsid w:val="694E2501"/>
    <w:rsid w:val="695E486A"/>
    <w:rsid w:val="69655A1A"/>
    <w:rsid w:val="696D27D0"/>
    <w:rsid w:val="696D35D5"/>
    <w:rsid w:val="698C4A5A"/>
    <w:rsid w:val="69981A40"/>
    <w:rsid w:val="699D210A"/>
    <w:rsid w:val="69C0056F"/>
    <w:rsid w:val="69C303FA"/>
    <w:rsid w:val="69E343CF"/>
    <w:rsid w:val="69E976DE"/>
    <w:rsid w:val="69F167AC"/>
    <w:rsid w:val="6A00733F"/>
    <w:rsid w:val="6A051875"/>
    <w:rsid w:val="6A0E1F92"/>
    <w:rsid w:val="6A33464F"/>
    <w:rsid w:val="6A3716E6"/>
    <w:rsid w:val="6A4D498D"/>
    <w:rsid w:val="6A63128D"/>
    <w:rsid w:val="6A68020C"/>
    <w:rsid w:val="6A7B3A7F"/>
    <w:rsid w:val="6A903094"/>
    <w:rsid w:val="6AA924B4"/>
    <w:rsid w:val="6AC81824"/>
    <w:rsid w:val="6AFA7206"/>
    <w:rsid w:val="6B085CCB"/>
    <w:rsid w:val="6B315A3D"/>
    <w:rsid w:val="6B402768"/>
    <w:rsid w:val="6B486578"/>
    <w:rsid w:val="6B763BBF"/>
    <w:rsid w:val="6B774DF2"/>
    <w:rsid w:val="6B90040C"/>
    <w:rsid w:val="6B9561D7"/>
    <w:rsid w:val="6B9D2DD2"/>
    <w:rsid w:val="6BA406BD"/>
    <w:rsid w:val="6BFD644C"/>
    <w:rsid w:val="6C055EB0"/>
    <w:rsid w:val="6C337DD6"/>
    <w:rsid w:val="6C45178D"/>
    <w:rsid w:val="6C5323A4"/>
    <w:rsid w:val="6C58089B"/>
    <w:rsid w:val="6C860F9C"/>
    <w:rsid w:val="6C913029"/>
    <w:rsid w:val="6C9D77EE"/>
    <w:rsid w:val="6CAD79AB"/>
    <w:rsid w:val="6CFD61EB"/>
    <w:rsid w:val="6D2147B0"/>
    <w:rsid w:val="6D4A7767"/>
    <w:rsid w:val="6D56630E"/>
    <w:rsid w:val="6D744629"/>
    <w:rsid w:val="6D765589"/>
    <w:rsid w:val="6D782CED"/>
    <w:rsid w:val="6D81230A"/>
    <w:rsid w:val="6D8F3481"/>
    <w:rsid w:val="6D9F2594"/>
    <w:rsid w:val="6DA53D56"/>
    <w:rsid w:val="6DAA4153"/>
    <w:rsid w:val="6DBF0240"/>
    <w:rsid w:val="6DC572F5"/>
    <w:rsid w:val="6DC8111A"/>
    <w:rsid w:val="6DE65FD3"/>
    <w:rsid w:val="6DF37591"/>
    <w:rsid w:val="6DFA3DB4"/>
    <w:rsid w:val="6DFC6E63"/>
    <w:rsid w:val="6DFE0066"/>
    <w:rsid w:val="6E011A61"/>
    <w:rsid w:val="6E1B7BA2"/>
    <w:rsid w:val="6E1C4318"/>
    <w:rsid w:val="6E20099F"/>
    <w:rsid w:val="6E5337E0"/>
    <w:rsid w:val="6E7674F5"/>
    <w:rsid w:val="6E865586"/>
    <w:rsid w:val="6EA368F8"/>
    <w:rsid w:val="6EB72579"/>
    <w:rsid w:val="6EBC2F07"/>
    <w:rsid w:val="6ED15DCA"/>
    <w:rsid w:val="6EF8315D"/>
    <w:rsid w:val="6F2C444E"/>
    <w:rsid w:val="6F46777D"/>
    <w:rsid w:val="6F590C69"/>
    <w:rsid w:val="6F710518"/>
    <w:rsid w:val="6F792010"/>
    <w:rsid w:val="6F8B2A39"/>
    <w:rsid w:val="6FD53379"/>
    <w:rsid w:val="6FF460AD"/>
    <w:rsid w:val="6FF46EB5"/>
    <w:rsid w:val="6FF529B7"/>
    <w:rsid w:val="70295B1B"/>
    <w:rsid w:val="70402100"/>
    <w:rsid w:val="7057451A"/>
    <w:rsid w:val="705C303D"/>
    <w:rsid w:val="70616804"/>
    <w:rsid w:val="70694180"/>
    <w:rsid w:val="70B972DC"/>
    <w:rsid w:val="710D0F27"/>
    <w:rsid w:val="711E5832"/>
    <w:rsid w:val="714132A7"/>
    <w:rsid w:val="71514804"/>
    <w:rsid w:val="717816D5"/>
    <w:rsid w:val="7179608C"/>
    <w:rsid w:val="718030F6"/>
    <w:rsid w:val="719A616A"/>
    <w:rsid w:val="71A544BB"/>
    <w:rsid w:val="71C947C7"/>
    <w:rsid w:val="71E81C15"/>
    <w:rsid w:val="71EB66DE"/>
    <w:rsid w:val="71F62DEF"/>
    <w:rsid w:val="72173C7E"/>
    <w:rsid w:val="721A0E69"/>
    <w:rsid w:val="721B6C05"/>
    <w:rsid w:val="721F4CE3"/>
    <w:rsid w:val="72243735"/>
    <w:rsid w:val="72384C6B"/>
    <w:rsid w:val="728173B8"/>
    <w:rsid w:val="72925B9B"/>
    <w:rsid w:val="729A2A61"/>
    <w:rsid w:val="729A74B7"/>
    <w:rsid w:val="72F35EED"/>
    <w:rsid w:val="73363B4B"/>
    <w:rsid w:val="733817C1"/>
    <w:rsid w:val="736D1576"/>
    <w:rsid w:val="73937A59"/>
    <w:rsid w:val="73A72705"/>
    <w:rsid w:val="73B920BD"/>
    <w:rsid w:val="73BE04D1"/>
    <w:rsid w:val="73C44F3C"/>
    <w:rsid w:val="73CF2BBE"/>
    <w:rsid w:val="73DA135F"/>
    <w:rsid w:val="7408229C"/>
    <w:rsid w:val="741F1C9D"/>
    <w:rsid w:val="74545723"/>
    <w:rsid w:val="7456606E"/>
    <w:rsid w:val="747B231A"/>
    <w:rsid w:val="747D7AED"/>
    <w:rsid w:val="74C04CBF"/>
    <w:rsid w:val="74C2573E"/>
    <w:rsid w:val="74DC560A"/>
    <w:rsid w:val="7508356B"/>
    <w:rsid w:val="75294D89"/>
    <w:rsid w:val="752D51CA"/>
    <w:rsid w:val="75364FB6"/>
    <w:rsid w:val="753C6C8F"/>
    <w:rsid w:val="7541284B"/>
    <w:rsid w:val="75617A50"/>
    <w:rsid w:val="75941C2C"/>
    <w:rsid w:val="75A07779"/>
    <w:rsid w:val="75A12280"/>
    <w:rsid w:val="75AA589C"/>
    <w:rsid w:val="75C60818"/>
    <w:rsid w:val="75CA6844"/>
    <w:rsid w:val="75CB7978"/>
    <w:rsid w:val="76126694"/>
    <w:rsid w:val="761805E1"/>
    <w:rsid w:val="762A7217"/>
    <w:rsid w:val="765A16BA"/>
    <w:rsid w:val="765F4642"/>
    <w:rsid w:val="766B13C1"/>
    <w:rsid w:val="766E3524"/>
    <w:rsid w:val="7675462C"/>
    <w:rsid w:val="767D559C"/>
    <w:rsid w:val="767F44D7"/>
    <w:rsid w:val="778F750F"/>
    <w:rsid w:val="77B45DFC"/>
    <w:rsid w:val="77C41078"/>
    <w:rsid w:val="77CD0717"/>
    <w:rsid w:val="77E459CD"/>
    <w:rsid w:val="77F02658"/>
    <w:rsid w:val="780865A0"/>
    <w:rsid w:val="78516E29"/>
    <w:rsid w:val="78602963"/>
    <w:rsid w:val="788C1765"/>
    <w:rsid w:val="78B6168F"/>
    <w:rsid w:val="78C0051C"/>
    <w:rsid w:val="78CC26C0"/>
    <w:rsid w:val="78D46D2A"/>
    <w:rsid w:val="78D80446"/>
    <w:rsid w:val="78E122A0"/>
    <w:rsid w:val="78F76920"/>
    <w:rsid w:val="7901105A"/>
    <w:rsid w:val="79353AF8"/>
    <w:rsid w:val="793E4F87"/>
    <w:rsid w:val="79447453"/>
    <w:rsid w:val="79652436"/>
    <w:rsid w:val="797579BC"/>
    <w:rsid w:val="797601E9"/>
    <w:rsid w:val="7990182B"/>
    <w:rsid w:val="79945C17"/>
    <w:rsid w:val="799D5973"/>
    <w:rsid w:val="79B6321E"/>
    <w:rsid w:val="79BD7416"/>
    <w:rsid w:val="79D217DF"/>
    <w:rsid w:val="7A042E10"/>
    <w:rsid w:val="7A05013D"/>
    <w:rsid w:val="7A0A402A"/>
    <w:rsid w:val="7A1F5C63"/>
    <w:rsid w:val="7A396538"/>
    <w:rsid w:val="7A3B0340"/>
    <w:rsid w:val="7A3E6D5E"/>
    <w:rsid w:val="7A40382E"/>
    <w:rsid w:val="7A5C0DA7"/>
    <w:rsid w:val="7A6571C6"/>
    <w:rsid w:val="7A6F3AA0"/>
    <w:rsid w:val="7A96011D"/>
    <w:rsid w:val="7A9F592F"/>
    <w:rsid w:val="7AB83F98"/>
    <w:rsid w:val="7AD2397E"/>
    <w:rsid w:val="7AEA6460"/>
    <w:rsid w:val="7AF67F85"/>
    <w:rsid w:val="7AF7076E"/>
    <w:rsid w:val="7B1B3593"/>
    <w:rsid w:val="7B20033C"/>
    <w:rsid w:val="7B2C1BF9"/>
    <w:rsid w:val="7B4A3665"/>
    <w:rsid w:val="7B502250"/>
    <w:rsid w:val="7B8A09CC"/>
    <w:rsid w:val="7B9D34DD"/>
    <w:rsid w:val="7BA71AE4"/>
    <w:rsid w:val="7BBA79C5"/>
    <w:rsid w:val="7BDB1595"/>
    <w:rsid w:val="7BE67B49"/>
    <w:rsid w:val="7BED6056"/>
    <w:rsid w:val="7BF85632"/>
    <w:rsid w:val="7BFE2080"/>
    <w:rsid w:val="7C072E13"/>
    <w:rsid w:val="7C517D68"/>
    <w:rsid w:val="7C5F66DC"/>
    <w:rsid w:val="7C77262C"/>
    <w:rsid w:val="7C8974D7"/>
    <w:rsid w:val="7C9B3CC1"/>
    <w:rsid w:val="7CA929A8"/>
    <w:rsid w:val="7CC14628"/>
    <w:rsid w:val="7CC557C8"/>
    <w:rsid w:val="7CCB26EC"/>
    <w:rsid w:val="7CCB6E79"/>
    <w:rsid w:val="7CEA3CFD"/>
    <w:rsid w:val="7CF17DE7"/>
    <w:rsid w:val="7D0B1C95"/>
    <w:rsid w:val="7D270886"/>
    <w:rsid w:val="7D384DC0"/>
    <w:rsid w:val="7D641B1E"/>
    <w:rsid w:val="7D8B3254"/>
    <w:rsid w:val="7DA261A2"/>
    <w:rsid w:val="7DC93573"/>
    <w:rsid w:val="7DD722F0"/>
    <w:rsid w:val="7DD81DCF"/>
    <w:rsid w:val="7DEA239D"/>
    <w:rsid w:val="7DF452E9"/>
    <w:rsid w:val="7E3332A1"/>
    <w:rsid w:val="7E415A78"/>
    <w:rsid w:val="7EA447C5"/>
    <w:rsid w:val="7EA9551E"/>
    <w:rsid w:val="7EB82ACD"/>
    <w:rsid w:val="7ED9458D"/>
    <w:rsid w:val="7EF0431D"/>
    <w:rsid w:val="7EF9758E"/>
    <w:rsid w:val="7F083AD9"/>
    <w:rsid w:val="7F0E6ADE"/>
    <w:rsid w:val="7F221E49"/>
    <w:rsid w:val="7F2257ED"/>
    <w:rsid w:val="7F2C4ACE"/>
    <w:rsid w:val="7F2D110A"/>
    <w:rsid w:val="7F426B36"/>
    <w:rsid w:val="7F445629"/>
    <w:rsid w:val="7F5F001A"/>
    <w:rsid w:val="7F68109F"/>
    <w:rsid w:val="7F844E8C"/>
    <w:rsid w:val="7F8932DC"/>
    <w:rsid w:val="7FAE52D2"/>
    <w:rsid w:val="7FEC794B"/>
    <w:rsid w:val="7FF92324"/>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styleId="3">
    <w:name w:val="heading 1"/>
    <w:basedOn w:val="1"/>
    <w:next w:val="1"/>
    <w:qFormat/>
    <w:uiPriority w:val="0"/>
    <w:pPr>
      <w:keepNext/>
      <w:keepLines/>
      <w:spacing w:before="340" w:after="330" w:line="578" w:lineRule="atLeast"/>
      <w:ind w:firstLine="288"/>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5">
    <w:name w:val="heading 3"/>
    <w:basedOn w:val="1"/>
    <w:next w:val="1"/>
    <w:qFormat/>
    <w:uiPriority w:val="0"/>
    <w:pPr>
      <w:keepNext/>
      <w:keepLines/>
      <w:tabs>
        <w:tab w:val="left" w:pos="1260"/>
      </w:tabs>
      <w:spacing w:before="260" w:after="260" w:line="416" w:lineRule="atLeast"/>
      <w:ind w:left="1260" w:hanging="420"/>
      <w:outlineLvl w:val="2"/>
    </w:pPr>
    <w:rPr>
      <w:b/>
      <w:sz w:val="32"/>
    </w:rPr>
  </w:style>
  <w:style w:type="paragraph" w:styleId="6">
    <w:name w:val="heading 4"/>
    <w:basedOn w:val="1"/>
    <w:next w:val="1"/>
    <w:qFormat/>
    <w:uiPriority w:val="0"/>
    <w:pPr>
      <w:keepNext/>
      <w:keepLines/>
      <w:numPr>
        <w:ilvl w:val="3"/>
        <w:numId w:val="1"/>
      </w:numPr>
      <w:spacing w:before="280" w:after="290" w:line="376" w:lineRule="atLeast"/>
      <w:outlineLvl w:val="3"/>
    </w:pPr>
    <w:rPr>
      <w:rFonts w:ascii="Arial" w:hAnsi="Arial" w:eastAsia="黑体"/>
      <w:b/>
      <w:bCs/>
      <w:sz w:val="28"/>
      <w:szCs w:val="28"/>
    </w:rPr>
  </w:style>
  <w:style w:type="character" w:default="1" w:styleId="25">
    <w:name w:val="Default Paragraph Font"/>
    <w:unhideWhenUsed/>
    <w:qFormat/>
    <w:uiPriority w:val="1"/>
  </w:style>
  <w:style w:type="table" w:default="1" w:styleId="31">
    <w:name w:val="Normal Table"/>
    <w:unhideWhenUsed/>
    <w:qFormat/>
    <w:uiPriority w:val="99"/>
    <w:tblPr>
      <w:tblLayout w:type="fixed"/>
      <w:tblCellMar>
        <w:top w:w="0" w:type="dxa"/>
        <w:left w:w="108" w:type="dxa"/>
        <w:bottom w:w="0" w:type="dxa"/>
        <w:right w:w="108" w:type="dxa"/>
      </w:tblCellMar>
    </w:tblPr>
  </w:style>
  <w:style w:type="paragraph" w:styleId="2">
    <w:name w:val="Body Text Indent 2"/>
    <w:basedOn w:val="1"/>
    <w:link w:val="38"/>
    <w:qFormat/>
    <w:uiPriority w:val="0"/>
    <w:pPr>
      <w:spacing w:after="120" w:line="480" w:lineRule="auto"/>
      <w:ind w:left="420" w:leftChars="200"/>
    </w:pPr>
  </w:style>
  <w:style w:type="paragraph" w:styleId="7">
    <w:name w:val="annotation subject"/>
    <w:basedOn w:val="8"/>
    <w:next w:val="8"/>
    <w:link w:val="40"/>
    <w:qFormat/>
    <w:uiPriority w:val="0"/>
    <w:rPr>
      <w:b/>
      <w:bCs/>
    </w:rPr>
  </w:style>
  <w:style w:type="paragraph" w:styleId="8">
    <w:name w:val="annotation text"/>
    <w:basedOn w:val="1"/>
    <w:link w:val="34"/>
    <w:qFormat/>
    <w:uiPriority w:val="99"/>
  </w:style>
  <w:style w:type="paragraph" w:styleId="9">
    <w:name w:val="Normal Indent"/>
    <w:basedOn w:val="1"/>
    <w:qFormat/>
    <w:uiPriority w:val="0"/>
    <w:pPr>
      <w:autoSpaceDE w:val="0"/>
      <w:autoSpaceDN w:val="0"/>
      <w:ind w:firstLine="420"/>
    </w:pPr>
    <w:rPr>
      <w:rFonts w:ascii="宋体"/>
    </w:rPr>
  </w:style>
  <w:style w:type="paragraph" w:styleId="10">
    <w:name w:val="Body Text"/>
    <w:basedOn w:val="1"/>
    <w:link w:val="35"/>
    <w:qFormat/>
    <w:uiPriority w:val="0"/>
    <w:pPr>
      <w:spacing w:after="120"/>
    </w:pPr>
  </w:style>
  <w:style w:type="paragraph" w:styleId="11">
    <w:name w:val="Body Text Indent"/>
    <w:basedOn w:val="1"/>
    <w:link w:val="36"/>
    <w:qFormat/>
    <w:uiPriority w:val="0"/>
    <w:pPr>
      <w:spacing w:after="120"/>
      <w:ind w:left="420" w:leftChars="200"/>
    </w:pPr>
  </w:style>
  <w:style w:type="paragraph" w:styleId="12">
    <w:name w:val="Block Text"/>
    <w:basedOn w:val="1"/>
    <w:qFormat/>
    <w:uiPriority w:val="0"/>
    <w:pPr>
      <w:snapToGrid w:val="0"/>
      <w:spacing w:before="120" w:line="312" w:lineRule="auto"/>
      <w:ind w:left="428" w:right="154" w:firstLine="470" w:firstLineChars="196"/>
      <w:jc w:val="both"/>
      <w:textAlignment w:val="auto"/>
    </w:pPr>
    <w:rPr>
      <w:kern w:val="2"/>
      <w:szCs w:val="20"/>
    </w:rPr>
  </w:style>
  <w:style w:type="paragraph" w:styleId="13">
    <w:name w:val="Plain Text"/>
    <w:basedOn w:val="1"/>
    <w:link w:val="37"/>
    <w:qFormat/>
    <w:uiPriority w:val="0"/>
    <w:pPr>
      <w:adjustRightInd/>
      <w:spacing w:line="240" w:lineRule="auto"/>
      <w:jc w:val="both"/>
      <w:textAlignment w:val="auto"/>
    </w:pPr>
    <w:rPr>
      <w:rFonts w:ascii="宋体" w:hAnsi="Courier New"/>
      <w:kern w:val="2"/>
      <w:sz w:val="21"/>
      <w:szCs w:val="21"/>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pacing w:line="240" w:lineRule="atLeast"/>
    </w:pPr>
    <w:rPr>
      <w:sz w:val="18"/>
    </w:rPr>
  </w:style>
  <w:style w:type="paragraph" w:styleId="16">
    <w:name w:val="Body Text First Indent 2"/>
    <w:basedOn w:val="11"/>
    <w:link w:val="41"/>
    <w:unhideWhenUsed/>
    <w:qFormat/>
    <w:uiPriority w:val="99"/>
    <w:pPr>
      <w:adjustRightInd/>
      <w:spacing w:line="240" w:lineRule="auto"/>
      <w:ind w:firstLine="420" w:firstLineChars="200"/>
      <w:jc w:val="both"/>
      <w:textAlignment w:val="auto"/>
    </w:pPr>
    <w:rPr>
      <w:rFonts w:ascii="Times New Roman" w:hAnsi="Times New Roman"/>
      <w:kern w:val="2"/>
      <w:sz w:val="21"/>
      <w:szCs w:val="24"/>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39"/>
  </w:style>
  <w:style w:type="paragraph" w:styleId="19">
    <w:name w:val="Body Text Indent 3"/>
    <w:basedOn w:val="1"/>
    <w:link w:val="39"/>
    <w:qFormat/>
    <w:uiPriority w:val="0"/>
    <w:pPr>
      <w:spacing w:after="120"/>
      <w:ind w:left="420" w:leftChars="200"/>
    </w:pPr>
    <w:rPr>
      <w:sz w:val="16"/>
      <w:szCs w:val="16"/>
    </w:rPr>
  </w:style>
  <w:style w:type="paragraph" w:styleId="20">
    <w:name w:val="Body Text 2"/>
    <w:basedOn w:val="1"/>
    <w:qFormat/>
    <w:uiPriority w:val="0"/>
    <w:pPr>
      <w:suppressAutoHyphens/>
      <w:jc w:val="left"/>
    </w:pPr>
    <w:rPr>
      <w:rFonts w:ascii="Calibri" w:hAnsi="Calibri" w:eastAsia="宋体" w:cs="Times New Roman"/>
      <w:color w:val="000000"/>
      <w:sz w:val="28"/>
      <w:szCs w:val="28"/>
    </w:rPr>
  </w:style>
  <w:style w:type="paragraph" w:styleId="21">
    <w:name w:val="Normal (Web)"/>
    <w:basedOn w:val="1"/>
    <w:unhideWhenUsed/>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styleId="22">
    <w:name w:val="index 1"/>
    <w:basedOn w:val="1"/>
    <w:next w:val="1"/>
    <w:qFormat/>
    <w:uiPriority w:val="0"/>
    <w:rPr>
      <w:szCs w:val="20"/>
    </w:rPr>
  </w:style>
  <w:style w:type="paragraph" w:styleId="23">
    <w:name w:val="Title"/>
    <w:basedOn w:val="24"/>
    <w:next w:val="1"/>
    <w:qFormat/>
    <w:uiPriority w:val="0"/>
    <w:pPr>
      <w:numPr>
        <w:ilvl w:val="1"/>
        <w:numId w:val="2"/>
      </w:numPr>
      <w:spacing w:line="560" w:lineRule="exact"/>
      <w:outlineLvl w:val="1"/>
    </w:pPr>
    <w:rPr>
      <w:rFonts w:ascii="楷体_GB2312" w:eastAsia="楷体_GB2312"/>
      <w:kern w:val="2"/>
      <w:sz w:val="32"/>
      <w:szCs w:val="32"/>
    </w:rPr>
  </w:style>
  <w:style w:type="paragraph" w:customStyle="1" w:styleId="24">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character" w:styleId="26">
    <w:name w:val="Strong"/>
    <w:qFormat/>
    <w:uiPriority w:val="22"/>
    <w:rPr>
      <w:b/>
      <w:bCs/>
    </w:rPr>
  </w:style>
  <w:style w:type="character" w:styleId="27">
    <w:name w:val="page number"/>
    <w:qFormat/>
    <w:uiPriority w:val="0"/>
  </w:style>
  <w:style w:type="character" w:styleId="28">
    <w:name w:val="FollowedHyperlink"/>
    <w:qFormat/>
    <w:uiPriority w:val="0"/>
    <w:rPr>
      <w:color w:val="800080"/>
      <w:u w:val="single"/>
    </w:rPr>
  </w:style>
  <w:style w:type="character" w:styleId="29">
    <w:name w:val="Hyperlink"/>
    <w:unhideWhenUsed/>
    <w:qFormat/>
    <w:uiPriority w:val="99"/>
    <w:rPr>
      <w:color w:val="0000FF"/>
      <w:u w:val="single"/>
    </w:rPr>
  </w:style>
  <w:style w:type="character" w:styleId="30">
    <w:name w:val="annotation reference"/>
    <w:qFormat/>
    <w:uiPriority w:val="99"/>
    <w:rPr>
      <w:sz w:val="21"/>
      <w:szCs w:val="21"/>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3">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34">
    <w:name w:val="批注文字 Char"/>
    <w:link w:val="8"/>
    <w:qFormat/>
    <w:uiPriority w:val="99"/>
    <w:rPr>
      <w:sz w:val="24"/>
      <w:szCs w:val="22"/>
    </w:rPr>
  </w:style>
  <w:style w:type="character" w:customStyle="1" w:styleId="35">
    <w:name w:val="正文文本 Char"/>
    <w:link w:val="10"/>
    <w:qFormat/>
    <w:uiPriority w:val="0"/>
    <w:rPr>
      <w:sz w:val="24"/>
      <w:szCs w:val="22"/>
    </w:rPr>
  </w:style>
  <w:style w:type="character" w:customStyle="1" w:styleId="36">
    <w:name w:val="正文文本缩进 Char"/>
    <w:link w:val="11"/>
    <w:qFormat/>
    <w:uiPriority w:val="0"/>
    <w:rPr>
      <w:sz w:val="24"/>
      <w:szCs w:val="22"/>
    </w:rPr>
  </w:style>
  <w:style w:type="character" w:customStyle="1" w:styleId="37">
    <w:name w:val="纯文本 Char"/>
    <w:link w:val="13"/>
    <w:qFormat/>
    <w:uiPriority w:val="0"/>
    <w:rPr>
      <w:rFonts w:ascii="宋体" w:hAnsi="Courier New" w:eastAsia="宋体"/>
      <w:kern w:val="2"/>
      <w:sz w:val="21"/>
      <w:szCs w:val="21"/>
      <w:lang w:val="en-US" w:eastAsia="zh-CN" w:bidi="ar-SA"/>
    </w:rPr>
  </w:style>
  <w:style w:type="character" w:customStyle="1" w:styleId="38">
    <w:name w:val="正文文本缩进 2 Char"/>
    <w:link w:val="2"/>
    <w:qFormat/>
    <w:uiPriority w:val="0"/>
    <w:rPr>
      <w:sz w:val="24"/>
      <w:szCs w:val="22"/>
    </w:rPr>
  </w:style>
  <w:style w:type="character" w:customStyle="1" w:styleId="39">
    <w:name w:val="正文文本缩进 3 Char"/>
    <w:link w:val="19"/>
    <w:qFormat/>
    <w:uiPriority w:val="0"/>
    <w:rPr>
      <w:sz w:val="16"/>
      <w:szCs w:val="16"/>
    </w:rPr>
  </w:style>
  <w:style w:type="character" w:customStyle="1" w:styleId="40">
    <w:name w:val="批注主题 Char"/>
    <w:link w:val="7"/>
    <w:qFormat/>
    <w:uiPriority w:val="0"/>
    <w:rPr>
      <w:b/>
      <w:bCs/>
      <w:sz w:val="24"/>
      <w:szCs w:val="22"/>
    </w:rPr>
  </w:style>
  <w:style w:type="character" w:customStyle="1" w:styleId="41">
    <w:name w:val="正文首行缩进 2 Char"/>
    <w:link w:val="16"/>
    <w:qFormat/>
    <w:uiPriority w:val="99"/>
    <w:rPr>
      <w:rFonts w:ascii="Times New Roman" w:hAnsi="Times New Roman"/>
      <w:kern w:val="2"/>
      <w:sz w:val="21"/>
      <w:szCs w:val="24"/>
    </w:rPr>
  </w:style>
  <w:style w:type="character" w:customStyle="1" w:styleId="42">
    <w:name w:val="px_10"/>
    <w:qFormat/>
    <w:uiPriority w:val="0"/>
  </w:style>
  <w:style w:type="paragraph" w:customStyle="1" w:styleId="43">
    <w:name w:val="样式 标题 2 + 宋体 五号 非加粗 黑色"/>
    <w:basedOn w:val="4"/>
    <w:qFormat/>
    <w:uiPriority w:val="0"/>
    <w:rPr>
      <w:rFonts w:ascii="宋体" w:hAnsi="宋体" w:eastAsia="宋体"/>
      <w:b w:val="0"/>
      <w:bCs w:val="0"/>
      <w:color w:val="000000"/>
      <w:sz w:val="21"/>
    </w:rPr>
  </w:style>
  <w:style w:type="paragraph" w:customStyle="1" w:styleId="44">
    <w:name w:val="样式 标题 3h3H3sect1.2.3 + 五号 段前: 6 磅 段后: 6 磅 行距: 单倍行距"/>
    <w:basedOn w:val="5"/>
    <w:qFormat/>
    <w:uiPriority w:val="0"/>
    <w:pPr>
      <w:spacing w:before="120" w:after="120" w:line="240" w:lineRule="auto"/>
    </w:pPr>
    <w:rPr>
      <w:sz w:val="21"/>
    </w:rPr>
  </w:style>
  <w:style w:type="paragraph" w:customStyle="1" w:styleId="45">
    <w:name w:val="列出段落1"/>
    <w:basedOn w:val="1"/>
    <w:qFormat/>
    <w:uiPriority w:val="0"/>
    <w:pPr>
      <w:ind w:firstLine="420" w:firstLineChars="200"/>
    </w:pPr>
  </w:style>
  <w:style w:type="paragraph" w:customStyle="1" w:styleId="46">
    <w:name w:val="纯文本1"/>
    <w:basedOn w:val="1"/>
    <w:qFormat/>
    <w:uiPriority w:val="0"/>
    <w:pPr>
      <w:adjustRightInd/>
      <w:spacing w:line="240" w:lineRule="auto"/>
      <w:jc w:val="both"/>
      <w:textAlignment w:val="auto"/>
    </w:pPr>
    <w:rPr>
      <w:rFonts w:ascii="宋体" w:hAnsi="Courier New"/>
      <w:kern w:val="2"/>
      <w:sz w:val="21"/>
      <w:szCs w:val="21"/>
    </w:rPr>
  </w:style>
  <w:style w:type="paragraph" w:customStyle="1" w:styleId="47">
    <w:name w:val="样式 标题 4 + 段前: 5 磅 段后: 5 磅 行距: 单倍行距"/>
    <w:basedOn w:val="6"/>
    <w:qFormat/>
    <w:uiPriority w:val="0"/>
    <w:pPr>
      <w:spacing w:before="100" w:after="100" w:line="240" w:lineRule="auto"/>
    </w:pPr>
    <w:rPr>
      <w:rFonts w:cs="宋体"/>
      <w:szCs w:val="20"/>
    </w:rPr>
  </w:style>
  <w:style w:type="paragraph" w:customStyle="1" w:styleId="48">
    <w:name w:val="样式 标题 1 + 四号 居中 段前: 12 磅 段后: 12 磅 行距: 单倍行距"/>
    <w:basedOn w:val="3"/>
    <w:qFormat/>
    <w:uiPriority w:val="0"/>
    <w:pPr>
      <w:numPr>
        <w:ilvl w:val="0"/>
        <w:numId w:val="1"/>
      </w:numPr>
      <w:spacing w:before="240" w:after="240" w:line="240" w:lineRule="auto"/>
      <w:jc w:val="center"/>
    </w:pPr>
    <w:rPr>
      <w:rFonts w:cs="宋体"/>
      <w:sz w:val="28"/>
      <w:szCs w:val="20"/>
    </w:rPr>
  </w:style>
  <w:style w:type="paragraph" w:customStyle="1" w:styleId="49">
    <w:name w:val="样式 样式 样式 样式 标题 2 + 宋体 五号 非加粗 黑色 + 段前: 6 磅 段后: 0 磅 行距: 单倍行距 + 段前:..."/>
    <w:basedOn w:val="50"/>
    <w:qFormat/>
    <w:uiPriority w:val="0"/>
    <w:rPr>
      <w:b/>
      <w:bCs/>
    </w:rPr>
  </w:style>
  <w:style w:type="paragraph" w:customStyle="1" w:styleId="50">
    <w:name w:val="样式 样式 样式 标题 2 + 宋体 五号 非加粗 黑色 + 段前: 6 磅 段后: 0 磅 行距: 单倍行距 + 段前: 12..."/>
    <w:basedOn w:val="51"/>
    <w:qFormat/>
    <w:uiPriority w:val="0"/>
    <w:pPr>
      <w:spacing w:before="240"/>
    </w:pPr>
  </w:style>
  <w:style w:type="paragraph" w:customStyle="1" w:styleId="51">
    <w:name w:val="样式 样式 标题 2 + 宋体 五号 非加粗 黑色 + 段前: 6 磅 段后: 0 磅 行距: 单倍行距"/>
    <w:basedOn w:val="43"/>
    <w:qFormat/>
    <w:uiPriority w:val="0"/>
    <w:pPr>
      <w:spacing w:before="120" w:after="0" w:line="240" w:lineRule="auto"/>
    </w:pPr>
    <w:rPr>
      <w:rFonts w:cs="宋体"/>
      <w:szCs w:val="20"/>
    </w:rPr>
  </w:style>
  <w:style w:type="paragraph" w:customStyle="1" w:styleId="52">
    <w:name w:val="p0"/>
    <w:basedOn w:val="1"/>
    <w:qFormat/>
    <w:uiPriority w:val="0"/>
    <w:pPr>
      <w:widowControl/>
      <w:spacing w:before="100" w:beforeAutospacing="1" w:after="100" w:afterAutospacing="1"/>
    </w:pPr>
    <w:rPr>
      <w:rFonts w:ascii="宋体" w:hAnsi="宋体" w:cs="宋体"/>
      <w:szCs w:val="24"/>
    </w:rPr>
  </w:style>
  <w:style w:type="paragraph" w:customStyle="1" w:styleId="53">
    <w:name w:val="样式1"/>
    <w:basedOn w:val="1"/>
    <w:link w:val="54"/>
    <w:qFormat/>
    <w:uiPriority w:val="0"/>
    <w:pPr>
      <w:numPr>
        <w:ilvl w:val="0"/>
        <w:numId w:val="3"/>
      </w:numPr>
      <w:spacing w:line="240" w:lineRule="auto"/>
      <w:jc w:val="both"/>
    </w:pPr>
    <w:rPr>
      <w:rFonts w:ascii="宋体" w:hAnsi="宋体"/>
      <w:sz w:val="21"/>
      <w:szCs w:val="21"/>
    </w:rPr>
  </w:style>
  <w:style w:type="character" w:customStyle="1" w:styleId="54">
    <w:name w:val="样式1 Char"/>
    <w:link w:val="53"/>
    <w:qFormat/>
    <w:uiPriority w:val="0"/>
    <w:rPr>
      <w:rFonts w:ascii="宋体" w:hAnsi="宋体"/>
      <w:sz w:val="21"/>
      <w:szCs w:val="21"/>
    </w:rPr>
  </w:style>
  <w:style w:type="character" w:customStyle="1" w:styleId="55">
    <w:name w:val="apple-converted-space"/>
    <w:qFormat/>
    <w:uiPriority w:val="0"/>
    <w:rPr>
      <w:rFonts w:cs="Times New Roman"/>
    </w:rPr>
  </w:style>
  <w:style w:type="character" w:customStyle="1" w:styleId="56">
    <w:name w:val="标题 1 Char Char Char Char"/>
    <w:qFormat/>
    <w:uiPriority w:val="0"/>
    <w:rPr>
      <w:rFonts w:eastAsia="宋体"/>
      <w:b/>
      <w:bCs/>
      <w:kern w:val="44"/>
      <w:sz w:val="44"/>
      <w:szCs w:val="44"/>
      <w:lang w:val="en-US" w:eastAsia="zh-CN" w:bidi="ar-SA"/>
    </w:rPr>
  </w:style>
  <w:style w:type="paragraph" w:customStyle="1" w:styleId="57">
    <w:name w:val="普通文字"/>
    <w:basedOn w:val="1"/>
    <w:qFormat/>
    <w:uiPriority w:val="0"/>
    <w:pPr>
      <w:widowControl/>
      <w:adjustRightInd/>
      <w:spacing w:line="351" w:lineRule="atLeast"/>
      <w:ind w:firstLine="419"/>
      <w:jc w:val="both"/>
    </w:pPr>
    <w:rPr>
      <w:rFonts w:ascii="宋体" w:hAnsi="Times New Roman"/>
      <w:color w:val="000000"/>
      <w:sz w:val="21"/>
      <w:szCs w:val="20"/>
      <w:u w:color="000000"/>
    </w:rPr>
  </w:style>
  <w:style w:type="paragraph" w:customStyle="1" w:styleId="58">
    <w:name w:val="正文文字缩进 3"/>
    <w:basedOn w:val="1"/>
    <w:qFormat/>
    <w:uiPriority w:val="0"/>
    <w:pPr>
      <w:widowControl/>
      <w:adjustRightInd/>
      <w:spacing w:before="119" w:line="272" w:lineRule="atLeast"/>
      <w:ind w:left="719" w:firstLine="481"/>
    </w:pPr>
    <w:rPr>
      <w:rFonts w:ascii="宋体" w:hAnsi="Times New Roman"/>
      <w:color w:val="000000"/>
      <w:szCs w:val="20"/>
      <w:u w:color="000000"/>
    </w:rPr>
  </w:style>
  <w:style w:type="paragraph" w:customStyle="1" w:styleId="59">
    <w:name w:val="正文文字缩进 2"/>
    <w:basedOn w:val="1"/>
    <w:qFormat/>
    <w:uiPriority w:val="0"/>
    <w:pPr>
      <w:widowControl/>
      <w:adjustRightInd/>
      <w:spacing w:line="351" w:lineRule="atLeast"/>
      <w:ind w:firstLine="481"/>
      <w:jc w:val="both"/>
    </w:pPr>
    <w:rPr>
      <w:rFonts w:ascii="仿宋_GB2312" w:hAnsi="Times New Roman" w:eastAsia="仿宋_GB2312"/>
      <w:color w:val="000000"/>
      <w:szCs w:val="20"/>
      <w:u w:color="000000"/>
    </w:rPr>
  </w:style>
  <w:style w:type="character" w:customStyle="1" w:styleId="60">
    <w:name w:val="标题 3 Char"/>
    <w:qFormat/>
    <w:uiPriority w:val="0"/>
    <w:rPr>
      <w:rFonts w:ascii="宋体" w:hAnsi="宋体"/>
    </w:rPr>
  </w:style>
  <w:style w:type="paragraph" w:customStyle="1" w:styleId="61">
    <w:name w:val="_Style 56"/>
    <w:semiHidden/>
    <w:qFormat/>
    <w:uiPriority w:val="99"/>
    <w:rPr>
      <w:rFonts w:ascii="Calibri" w:hAnsi="Calibri" w:eastAsia="宋体" w:cs="Times New Roman"/>
      <w:sz w:val="24"/>
      <w:szCs w:val="22"/>
      <w:lang w:val="en-US" w:eastAsia="zh-CN" w:bidi="ar-SA"/>
    </w:rPr>
  </w:style>
  <w:style w:type="paragraph" w:customStyle="1" w:styleId="62">
    <w:name w:val="List Paragraph"/>
    <w:basedOn w:val="1"/>
    <w:qFormat/>
    <w:uiPriority w:val="34"/>
    <w:pPr>
      <w:ind w:firstLine="420" w:firstLineChars="200"/>
    </w:pPr>
  </w:style>
  <w:style w:type="paragraph" w:customStyle="1" w:styleId="6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4">
    <w:name w:val="text"/>
    <w:basedOn w:val="1"/>
    <w:qFormat/>
    <w:uiPriority w:val="0"/>
    <w:pPr>
      <w:widowControl/>
      <w:adjustRightInd/>
      <w:spacing w:before="100" w:beforeAutospacing="1" w:after="100" w:afterAutospacing="1" w:line="240" w:lineRule="auto"/>
      <w:textAlignment w:val="auto"/>
    </w:pPr>
    <w:rPr>
      <w:rFonts w:ascii="宋体" w:hAnsi="宋体" w:cs="宋体"/>
      <w:szCs w:val="24"/>
    </w:rPr>
  </w:style>
  <w:style w:type="paragraph" w:customStyle="1" w:styleId="65">
    <w:name w:val="List Paragraph1"/>
    <w:basedOn w:val="1"/>
    <w:next w:val="66"/>
    <w:qFormat/>
    <w:uiPriority w:val="34"/>
    <w:pPr>
      <w:adjustRightInd/>
      <w:spacing w:line="240" w:lineRule="auto"/>
      <w:ind w:firstLine="420" w:firstLineChars="200"/>
      <w:jc w:val="both"/>
      <w:textAlignment w:val="auto"/>
    </w:pPr>
    <w:rPr>
      <w:kern w:val="2"/>
      <w:sz w:val="21"/>
      <w:lang w:val="zh-CN"/>
    </w:rPr>
  </w:style>
  <w:style w:type="paragraph" w:customStyle="1" w:styleId="66">
    <w:name w:val="列表段落1"/>
    <w:basedOn w:val="1"/>
    <w:qFormat/>
    <w:uiPriority w:val="34"/>
    <w:pPr>
      <w:adjustRightInd/>
      <w:spacing w:line="240" w:lineRule="auto"/>
      <w:ind w:firstLine="420" w:firstLineChars="200"/>
      <w:jc w:val="both"/>
      <w:textAlignment w:val="auto"/>
    </w:pPr>
    <w:rPr>
      <w:rFonts w:ascii="Times New Roman" w:hAnsi="Times New Roman"/>
      <w:kern w:val="2"/>
      <w:sz w:val="21"/>
      <w:szCs w:val="24"/>
    </w:rPr>
  </w:style>
  <w:style w:type="character" w:customStyle="1" w:styleId="67">
    <w:name w:val="15"/>
    <w:qFormat/>
    <w:uiPriority w:val="0"/>
    <w:rPr>
      <w:rFonts w:hint="eastAsia" w:ascii="宋体" w:hAnsi="宋体" w:eastAsia="宋体"/>
      <w:color w:val="000000"/>
      <w:sz w:val="20"/>
      <w:szCs w:val="20"/>
    </w:rPr>
  </w:style>
  <w:style w:type="character" w:customStyle="1" w:styleId="68">
    <w:name w:val="纯文本 字符1"/>
    <w:qFormat/>
    <w:uiPriority w:val="0"/>
    <w:rPr>
      <w:rFonts w:ascii="Times New Roman" w:hAnsi="Courier New"/>
      <w:kern w:val="2"/>
      <w:sz w:val="21"/>
      <w:szCs w:val="21"/>
    </w:rPr>
  </w:style>
  <w:style w:type="paragraph" w:customStyle="1" w:styleId="69">
    <w:name w:val="正文3"/>
    <w:basedOn w:val="1"/>
    <w:qFormat/>
    <w:uiPriority w:val="0"/>
    <w:pPr>
      <w:widowControl/>
      <w:numPr>
        <w:ilvl w:val="8"/>
        <w:numId w:val="4"/>
      </w:numPr>
      <w:adjustRightInd/>
      <w:spacing w:before="60" w:after="60" w:line="360" w:lineRule="auto"/>
      <w:textAlignment w:val="auto"/>
      <w:outlineLvl w:val="8"/>
    </w:pPr>
    <w:rPr>
      <w:rFonts w:ascii="Times New Roman" w:hAnsi="Times New Roman"/>
      <w:kern w:val="2"/>
      <w:szCs w:val="21"/>
    </w:rPr>
  </w:style>
  <w:style w:type="paragraph" w:customStyle="1" w:styleId="70">
    <w:name w:val="Table Text List"/>
    <w:basedOn w:val="1"/>
    <w:qFormat/>
    <w:uiPriority w:val="0"/>
    <w:pPr>
      <w:widowControl/>
      <w:numPr>
        <w:ilvl w:val="0"/>
        <w:numId w:val="4"/>
      </w:numPr>
      <w:adjustRightInd/>
      <w:snapToGrid w:val="0"/>
      <w:spacing w:before="80" w:after="80" w:line="240" w:lineRule="auto"/>
      <w:textAlignment w:val="auto"/>
    </w:pPr>
    <w:rPr>
      <w:rFonts w:ascii="Times New Roman" w:hAnsi="Times New Roman"/>
      <w:sz w:val="18"/>
      <w:szCs w:val="18"/>
    </w:rPr>
  </w:style>
  <w:style w:type="paragraph" w:customStyle="1" w:styleId="71">
    <w:name w:val="正文缩进1"/>
    <w:basedOn w:val="1"/>
    <w:qFormat/>
    <w:uiPriority w:val="0"/>
    <w:pPr>
      <w:widowControl/>
      <w:autoSpaceDE w:val="0"/>
      <w:autoSpaceDN w:val="0"/>
      <w:spacing w:line="240" w:lineRule="auto"/>
      <w:ind w:firstLine="420"/>
      <w:textAlignment w:val="auto"/>
    </w:pPr>
    <w:rPr>
      <w:rFonts w:ascii="宋体" w:hAnsi="Times New Roman" w:cs="宋体"/>
      <w:szCs w:val="24"/>
    </w:rPr>
  </w:style>
  <w:style w:type="character" w:customStyle="1" w:styleId="72">
    <w:name w:val="未处理的提及"/>
    <w:unhideWhenUsed/>
    <w:qFormat/>
    <w:uiPriority w:val="99"/>
    <w:rPr>
      <w:color w:val="605E5C"/>
      <w:shd w:val="clear" w:color="auto" w:fill="E1DFDD"/>
    </w:rPr>
  </w:style>
  <w:style w:type="paragraph" w:customStyle="1" w:styleId="73">
    <w:name w:val="_Style 2"/>
    <w:basedOn w:val="1"/>
    <w:qFormat/>
    <w:uiPriority w:val="34"/>
    <w:pPr>
      <w:ind w:firstLine="420" w:firstLineChars="200"/>
    </w:pPr>
  </w:style>
  <w:style w:type="character" w:customStyle="1" w:styleId="74">
    <w:name w:val="正文首行缩进 2字符 Char"/>
    <w:link w:val="75"/>
    <w:qFormat/>
    <w:uiPriority w:val="0"/>
    <w:rPr>
      <w:kern w:val="0"/>
      <w:sz w:val="24"/>
      <w:szCs w:val="24"/>
    </w:rPr>
  </w:style>
  <w:style w:type="paragraph" w:customStyle="1" w:styleId="75">
    <w:name w:val="正文首行缩进 2字符"/>
    <w:basedOn w:val="1"/>
    <w:link w:val="74"/>
    <w:qFormat/>
    <w:uiPriority w:val="0"/>
    <w:pPr>
      <w:ind w:firstLine="200" w:firstLineChars="200"/>
    </w:pPr>
    <w:rPr>
      <w:kern w:val="0"/>
      <w:sz w:val="24"/>
      <w:szCs w:val="24"/>
    </w:rPr>
  </w:style>
  <w:style w:type="character" w:customStyle="1" w:styleId="76">
    <w:name w:val="font21"/>
    <w:basedOn w:val="25"/>
    <w:qFormat/>
    <w:uiPriority w:val="0"/>
    <w:rPr>
      <w:rFonts w:hint="eastAsia" w:ascii="宋体" w:hAnsi="宋体" w:eastAsia="宋体" w:cs="宋体"/>
      <w:color w:val="000000"/>
      <w:sz w:val="20"/>
      <w:szCs w:val="20"/>
      <w:u w:val="none"/>
    </w:rPr>
  </w:style>
  <w:style w:type="character" w:customStyle="1" w:styleId="77">
    <w:name w:val="font31"/>
    <w:basedOn w:val="25"/>
    <w:qFormat/>
    <w:uiPriority w:val="0"/>
    <w:rPr>
      <w:rFonts w:hint="eastAsia" w:ascii="微软雅黑" w:hAnsi="微软雅黑" w:eastAsia="微软雅黑" w:cs="微软雅黑"/>
      <w:color w:val="000000"/>
      <w:sz w:val="24"/>
      <w:szCs w:val="24"/>
      <w:u w:val="none"/>
    </w:rPr>
  </w:style>
  <w:style w:type="character" w:customStyle="1" w:styleId="78">
    <w:name w:val="font41"/>
    <w:basedOn w:val="25"/>
    <w:qFormat/>
    <w:uiPriority w:val="0"/>
    <w:rPr>
      <w:rFonts w:hint="eastAsia" w:ascii="微软雅黑" w:hAnsi="微软雅黑" w:eastAsia="微软雅黑" w:cs="微软雅黑"/>
      <w:b/>
      <w:color w:val="000000"/>
      <w:sz w:val="24"/>
      <w:szCs w:val="24"/>
      <w:u w:val="none"/>
    </w:rPr>
  </w:style>
  <w:style w:type="character" w:customStyle="1" w:styleId="79">
    <w:name w:val="font01"/>
    <w:basedOn w:val="25"/>
    <w:qFormat/>
    <w:uiPriority w:val="0"/>
    <w:rPr>
      <w:rFonts w:hint="eastAsia" w:ascii="微软雅黑" w:hAnsi="微软雅黑" w:eastAsia="微软雅黑" w:cs="微软雅黑"/>
      <w:color w:val="000000"/>
      <w:sz w:val="24"/>
      <w:szCs w:val="24"/>
      <w:u w:val="none"/>
    </w:rPr>
  </w:style>
  <w:style w:type="character" w:customStyle="1" w:styleId="80">
    <w:name w:val="font11"/>
    <w:basedOn w:val="25"/>
    <w:qFormat/>
    <w:uiPriority w:val="0"/>
    <w:rPr>
      <w:rFonts w:hint="eastAsia" w:ascii="微软雅黑" w:hAnsi="微软雅黑" w:eastAsia="微软雅黑" w:cs="微软雅黑"/>
      <w:color w:val="000000"/>
      <w:sz w:val="24"/>
      <w:szCs w:val="24"/>
      <w:u w:val="none"/>
    </w:rPr>
  </w:style>
  <w:style w:type="character" w:customStyle="1" w:styleId="81">
    <w:name w:val="font71"/>
    <w:basedOn w:val="25"/>
    <w:qFormat/>
    <w:uiPriority w:val="0"/>
    <w:rPr>
      <w:rFonts w:hint="eastAsia" w:ascii="微软雅黑" w:hAnsi="微软雅黑" w:eastAsia="微软雅黑" w:cs="微软雅黑"/>
      <w:b/>
      <w:color w:val="000000"/>
      <w:sz w:val="24"/>
      <w:szCs w:val="24"/>
      <w:u w:val="none"/>
    </w:rPr>
  </w:style>
  <w:style w:type="paragraph" w:customStyle="1" w:styleId="82">
    <w:name w:val="Table Text"/>
    <w:basedOn w:val="1"/>
    <w:semiHidden/>
    <w:qFormat/>
    <w:uiPriority w:val="0"/>
    <w:rPr>
      <w:rFonts w:ascii="Arial" w:hAnsi="Arial" w:eastAsia="Arial" w:cs="Arial"/>
      <w:sz w:val="21"/>
      <w:szCs w:val="21"/>
      <w:lang w:val="en-US" w:eastAsia="en-US" w:bidi="ar-SA"/>
    </w:rPr>
  </w:style>
  <w:style w:type="table" w:customStyle="1" w:styleId="83">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4799</Words>
  <Characters>27359</Characters>
  <Lines>227</Lines>
  <Paragraphs>64</Paragraphs>
  <ScaleCrop>false</ScaleCrop>
  <LinksUpToDate>false</LinksUpToDate>
  <CharactersWithSpaces>32094</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2022-07-05T06:14:00Z</dcterms:created>
  <dc:creator>lyf</dc:creator>
  <cp:lastModifiedBy>SJS-ZST-1</cp:lastModifiedBy>
  <cp:lastPrinted>2024-12-03T02:44:47Z</cp:lastPrinted>
  <dcterms:modified xsi:type="dcterms:W3CDTF">2024-12-03T03:10:00Z</dcterms:modified>
  <dc:title>招 标 文 件</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9C771496C89C4EF28C3321FC8A50B65A</vt:lpwstr>
  </property>
</Properties>
</file>