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  <w:t>第四届“北京·景贤杯”创新创业大赛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zh-CN"/>
        </w:rPr>
        <w:t>赛事服务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eastAsia="zh-CN"/>
        </w:rPr>
        <w:t>采购合同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>项目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eastAsia="zh-CN"/>
        </w:rPr>
        <w:t>编号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eastAsia="zh-CN"/>
        </w:rPr>
        <w:t>11010724210200012523-XM001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>委托方（甲方）：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8"/>
          <w:szCs w:val="28"/>
          <w:u w:val="single"/>
          <w:lang w:val="en-US" w:eastAsia="zh-CN"/>
        </w:rPr>
        <w:t xml:space="preserve"> 中共北京市石景山区委组织部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>受托方（乙方）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8"/>
          <w:szCs w:val="28"/>
          <w:u w:val="single"/>
          <w:lang w:val="en-US" w:eastAsia="zh-CN"/>
        </w:rPr>
        <w:t>启迪之星（北京）科技企业孵化器有限公司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>2024年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val="en-US" w:eastAsia="zh-CN"/>
        </w:rPr>
        <w:t>赛事服务采购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32"/>
          <w:szCs w:val="32"/>
          <w:lang w:eastAsia="zh-CN"/>
        </w:rPr>
        <w:t>合同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委托方（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甲方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  <w:t>中共北京市石景山区委组织部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负责人：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  <w:t>张利军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  <w:t>北京石景山区石景山路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18号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  <w:t>李季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68668744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受托方（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乙方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启迪之星（北京）科技企业孵化器有限公司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负责人：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张金生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北京市海淀区中关村东路1号院8号楼1层CG05-234号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蒋寒薇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联系电话：</w:t>
      </w:r>
      <w:r>
        <w:rPr>
          <w:rFonts w:hint="eastAsia" w:ascii="宋体" w:hAnsi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13755179429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根据《中华人民共和国民法典》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及相关法律法规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的规定，经充分协商，甲乙双方就举办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第四届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snapToGrid w:val="0"/>
          <w:w w:val="100"/>
          <w:kern w:val="0"/>
          <w:sz w:val="24"/>
          <w:szCs w:val="24"/>
          <w:lang w:val="zh-CN"/>
        </w:rPr>
        <w:t>北京·景贤杯”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创新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创业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大赛（以下简称“大赛”）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相关事宜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协商一致，签订本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  <w:t>一、服务内容和要求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0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甲方对乙方组织的大赛予以指导与帮助，与乙方共同研究落实工作方案，确保大赛有序开展，达到预期效果。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0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乙方负责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大赛实施方案制定、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项目征集、赛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组织、项目遴选、项目评审、赛事宣传等事项。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outlineLvl w:val="0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为办好本次赛事，甲方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按照本合同的约定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就乙方负责的相关事项支付费用，委托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统一筹划开展并推动各事项有序进行。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  <w:t>二、权利义务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（1）有提供意见与建议的权利；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（2）有了解进度的权利；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（3）有要求宣传、推广、传播大赛正面形象的权利；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（4）有参与策划、执行同期活动的权利；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）甲方有义务协助乙方推进大赛各项组织协调工作，并做好相关本地保障。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（1）为便于统筹大赛组织安排，在甲方书面同意情况下，乙方有选择合作伙伴、执行公司等机构的权利；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（2）乙方有义务及时回应甲方提出的建议；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（3）乙方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组织大赛总体策划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包括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但不限于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赛事策划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等），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并协同现场执行、媒体宣传等工作；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（4）乙方应遵守甲方或第三方相关管理规定，承担安全保障责任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大赛执行过程中，如因乙方原因发生安全事故，乙方应承担相应责任；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（5）乙方在履行服务过程中应严格遵守法律法规的规定，且不得侵害第三方知识产权和其他合法权益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甲方因接受和使用乙方服务、成果遭受处罚或第三方索赔的，应由乙方负责解决并承担全部赔偿责任。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  <w:t>三、经费及支付方式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甲方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就本合同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承担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经费总额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人民币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2,086,000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>（大写：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人民币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 xml:space="preserve"> 贰佰零捌万陆仟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元整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。上述费用包含相关税费在内，为本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项下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乙方提供服务的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全部费用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如需审计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则以最终审计金额为准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除此以外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甲方不再向乙方支付任何其他费用。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支付方式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项目经费由甲方分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三次 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支付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给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乙方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本合同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签订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且收到乙方开具的合法有效的等额增值税专用发票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后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日内，甲方依照支付流程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向乙方指定账户支付经费总额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0%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即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1,043,000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>元（大写：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壹佰零肆万叁仟元整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大赛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复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赛结束并经甲方确认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且收到乙方开具的合法有效的等额增值税专用发票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后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30日内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，甲方依照支付流程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向乙方指定账户支付经费总额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0%，即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625,800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>（大写：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陆拾贰万伍仟捌佰元整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大赛相关事项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全部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结束并经甲方确认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无服务和质量问题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且收到乙方开具的合法有效的等额增值税专用发票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后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30日内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，甲方依照支付流程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向乙方指定账户支付经费总额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0%，即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417,200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>（大写：</w:t>
      </w:r>
      <w:r>
        <w:rPr>
          <w:rFonts w:hint="eastAsia" w:ascii="宋体" w:hAnsi="宋体" w:cs="宋体"/>
          <w:snapToGrid w:val="0"/>
          <w:w w:val="100"/>
          <w:kern w:val="0"/>
          <w:sz w:val="24"/>
          <w:szCs w:val="24"/>
          <w:u w:val="single"/>
          <w:lang w:val="en-US" w:eastAsia="zh-CN"/>
        </w:rPr>
        <w:t>肆拾壹万柒仟贰佰元整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u w:val="single"/>
        </w:rPr>
        <w:t xml:space="preserve"> 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未收到乙方开具发票的，甲方有权暂不付款且不承担违约责任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乙方不得因此拒绝履行合同义务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。若约定费用涉及审批且甲方因此未按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前述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约定时间付款，则付款时间相应顺延，甲方无需因此承担违约责任。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（5）乙方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指定收款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账户信息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如下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账户名称： 启迪之星(北京)科技企业孵化器有限公司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开户行名称：光大银行清华园支行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账号：3536 0188 0000 3276 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乙方上述信息发生变更的，应在甲方付款前书面告知，因乙方未及时告知造成甲方付款迟延的责任由乙方承担。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 w:val="0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napToGrid w:val="0"/>
          <w:w w:val="100"/>
          <w:kern w:val="0"/>
          <w:sz w:val="24"/>
          <w:szCs w:val="24"/>
        </w:rPr>
        <w:t>四、保密义务和成果归属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双方对在本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签订及履行过程中所接触到的对方的商业资料、技术资料、客户信息等资料或信息（统称“保密资料”）负有保密义务。一方未经对方书面许可，不得向任何第三方披露，亦不得将保密资料的部分或全部用于本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约定事项以外的其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他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用途。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双方为履行本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而有必要对保密资料进行复制的，应当在本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终止或解除时将保密资料原件全部返还对方，并销毁所有复制件。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本保密条款自保密资料提供或披露之日起至本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终止或解除后持续有效，直至保密资料已成为公众所能普遍获取的信息。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任何一方违反本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关于保密的约定，应赔偿因此而给对方造成的损失。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因履行本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所产生成果（包括但不限于图片、视频等）的知识产权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归甲方所有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非经甲方书面许可，乙方不得复制或使用。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napToGrid w:val="0"/>
          <w:w w:val="100"/>
          <w:kern w:val="0"/>
          <w:sz w:val="24"/>
          <w:szCs w:val="24"/>
        </w:rPr>
        <w:t>五、违约责任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若任意一方无正当理由终止协议，应与对方协商达成书面协议终止本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，提出终止的一方应充分考虑相对方前期资源投入，承担其实际损失的赔偿责任。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如遇不可抗力因素，导致一方不能履行本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时，必须立即将相关情况书面通知另一方，双方协商善后处置事宜，互不承担违约责任。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甲方需按照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约定提供必要的协助，以免影响乙方工作进度或质量。因甲方未按约定提供协助，影响工作成果的，乙方不承担违约责任。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如遇甲方无故延迟付款，应由双方协商确定解决方案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如协商无法达成一致，乙方保留解除协议并向甲方索赔的权利。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如因乙方过错未合格履行举办本次大赛的义务（包括但不限于逾期举办大赛、发生安全事故等），甲方有权解除本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，乙方应向甲方退还甲方已支付的全部费用，并向甲方支付本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合同经费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总额20%的违约金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如上述违约金不足以弥补甲方损失的，乙方还应补足赔偿。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乙方未尽知识产权保护或保密义务的，应赔偿甲方全部实际损失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损失无法计算的，按本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合同经费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总额20%的标准计算违约金。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乙方负责本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约定的工作事项，为完成本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项下的义务，需要将部分工作委托给第三方提供的，乙方可委托给第三方。乙方与第三方之间的任何争议均由乙方和第三方之间自行处理，与甲方无关，且乙方应对第三方行为承担连带责任。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六、争议的解决方法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在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履行过程中发生争议，双方应当协商解决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双方不愿协商、调解解决或者协商、调解不成的，任何一方均有权将争议提交甲方所在地有管辖权的人民法院诉讼。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七、适用法律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的订立、效力、解释、履行和争议的解决均适用中华人民共和国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不含香港、澳门及台湾地区）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相关法律法规。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</w:rPr>
        <w:t>八、其</w:t>
      </w:r>
      <w:r>
        <w:rPr>
          <w:rFonts w:hint="eastAsia" w:ascii="宋体" w:hAnsi="宋体" w:eastAsia="宋体" w:cs="宋体"/>
          <w:b/>
          <w:bCs/>
          <w:snapToGrid w:val="0"/>
          <w:w w:val="100"/>
          <w:kern w:val="0"/>
          <w:sz w:val="24"/>
          <w:szCs w:val="24"/>
          <w:lang w:val="en-US" w:eastAsia="zh-CN"/>
        </w:rPr>
        <w:t>他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一式四份，甲乙双方各执两份，自甲乙双方签字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盖章之日起生效。未经双方书面确认，任何一方不得变更或修改本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如有任何修改或补充，均需双方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法定代表人或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授权代表签署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并加盖双方公章或合同专用章后生效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，并视作本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不可分割的组成部分，与本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具有同等效力。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  <w:t>（以下无正文）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9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5"/>
        <w:gridCol w:w="4140"/>
      </w:tblGrid>
      <w:tr>
        <w:tblPrEx>
          <w:tblLayout w:type="fixed"/>
        </w:tblPrEx>
        <w:tc>
          <w:tcPr>
            <w:tcW w:w="4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  <w:t>委托方（</w:t>
            </w: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甲方</w:t>
            </w: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  <w:t>中共北京市石景山区委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55" w:leftChars="912" w:right="0" w:rightChars="0" w:hanging="2640" w:hangingChars="1100"/>
              <w:jc w:val="left"/>
              <w:textAlignment w:val="auto"/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  <w:t>受托方（</w:t>
            </w: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乙方</w:t>
            </w: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  <w:t>启迪之星（北京）科</w:t>
            </w:r>
          </w:p>
          <w:p>
            <w:pPr>
              <w:pStyle w:val="2"/>
              <w:ind w:firstLine="168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w w:val="100"/>
                <w:kern w:val="0"/>
                <w:sz w:val="24"/>
                <w:szCs w:val="24"/>
                <w:lang w:val="en-US" w:eastAsia="zh-CN"/>
              </w:rPr>
              <w:t>技企业孵化器有限公司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法定代表人或授权代表：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>法定代表人或授权代表：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 xml:space="preserve">日  期：   年   月  日 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60" w:leftChars="0" w:right="0" w:rightChars="0" w:hanging="4560" w:hangingChars="190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w w:val="100"/>
                <w:kern w:val="0"/>
                <w:sz w:val="24"/>
                <w:szCs w:val="24"/>
              </w:rPr>
              <w:t xml:space="preserve">日  期：   年 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napToGrid w:val="0"/>
          <w:w w:val="100"/>
          <w:kern w:val="0"/>
          <w:sz w:val="24"/>
          <w:szCs w:val="24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FD98"/>
    <w:multiLevelType w:val="singleLevel"/>
    <w:tmpl w:val="0903FD9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15A7"/>
    <w:rsid w:val="20E215A7"/>
    <w:rsid w:val="21073BC1"/>
    <w:rsid w:val="527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000000"/>
      <w:sz w:val="2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  <w:style w:type="paragraph" w:customStyle="1" w:styleId="10">
    <w:name w:val="正文样式小四号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2024-12-11T05:52:00Z</dcterms:created>
  <dc:creator>帅帅爱房几</dc:creator>
  <cp:lastModifiedBy>abc</cp:lastModifiedBy>
  <dcterms:modified xsi:type="dcterms:W3CDTF">2024-12-13T04:34:59Z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1624DFB1D5AE4A3AAA5DD3D971722773_11</vt:lpwstr>
  </property>
</Properties>
</file>