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565"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46"/>
        <w:gridCol w:w="2192"/>
        <w:gridCol w:w="1050"/>
        <w:gridCol w:w="1558"/>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565" w:type="dxa"/>
            <w:gridSpan w:val="5"/>
            <w:tcBorders>
              <w:top w:val="nil"/>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000000"/>
                <w:kern w:val="0"/>
                <w:sz w:val="32"/>
                <w:szCs w:val="32"/>
                <w:u w:val="none"/>
                <w:lang w:val="en-US" w:eastAsia="zh-CN" w:bidi="ar"/>
              </w:rPr>
            </w:pPr>
            <w:r>
              <w:rPr>
                <w:rFonts w:hint="eastAsia" w:ascii="宋体" w:hAnsi="宋体" w:cs="宋体"/>
                <w:b/>
                <w:i w:val="0"/>
                <w:color w:val="000000"/>
                <w:kern w:val="0"/>
                <w:sz w:val="32"/>
                <w:szCs w:val="32"/>
                <w:u w:val="none"/>
                <w:lang w:val="en-US" w:eastAsia="zh-CN" w:bidi="ar"/>
              </w:rPr>
              <w:t>北京市公安局昌平分局购置机动车项目</w:t>
            </w:r>
          </w:p>
          <w:p>
            <w:pPr>
              <w:keepNext w:val="0"/>
              <w:keepLines w:val="0"/>
              <w:widowControl/>
              <w:suppressLineNumbers w:val="0"/>
              <w:jc w:val="center"/>
              <w:textAlignment w:val="center"/>
              <w:rPr>
                <w:rFonts w:hint="eastAsia" w:ascii="宋体" w:hAnsi="宋体" w:cs="宋体"/>
                <w:b/>
                <w:i w:val="0"/>
                <w:color w:val="000000"/>
                <w:kern w:val="0"/>
                <w:sz w:val="21"/>
                <w:szCs w:val="21"/>
                <w:u w:val="none"/>
                <w:lang w:val="en-US" w:eastAsia="zh-CN" w:bidi="ar"/>
              </w:rPr>
            </w:pPr>
            <w:r>
              <w:rPr>
                <w:rFonts w:hint="eastAsia" w:ascii="宋体" w:hAnsi="宋体" w:cs="宋体"/>
                <w:b/>
                <w:i w:val="0"/>
                <w:color w:val="000000"/>
                <w:kern w:val="0"/>
                <w:sz w:val="32"/>
                <w:szCs w:val="32"/>
                <w:u w:val="none"/>
                <w:lang w:val="en-US" w:eastAsia="zh-CN" w:bidi="ar"/>
              </w:rPr>
              <w:t>第二包燃油轿车采购需求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0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val="en-US" w:eastAsia="zh-CN"/>
              </w:rPr>
            </w:pPr>
            <w:r>
              <w:rPr>
                <w:rFonts w:hint="eastAsia" w:ascii="宋体" w:hAnsi="宋体" w:cs="宋体"/>
                <w:b/>
                <w:i w:val="0"/>
                <w:color w:val="000000"/>
                <w:sz w:val="21"/>
                <w:szCs w:val="21"/>
                <w:u w:val="none"/>
                <w:lang w:val="en-US" w:eastAsia="zh-CN"/>
              </w:rPr>
              <w:t>包号名称</w:t>
            </w:r>
          </w:p>
        </w:tc>
        <w:tc>
          <w:tcPr>
            <w:tcW w:w="21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车型</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数量</w:t>
            </w:r>
          </w:p>
        </w:tc>
        <w:tc>
          <w:tcPr>
            <w:tcW w:w="15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本包预算金额</w:t>
            </w:r>
            <w:r>
              <w:rPr>
                <w:rFonts w:hint="eastAsia" w:ascii="宋体" w:hAnsi="宋体" w:cs="宋体"/>
                <w:b/>
                <w:i w:val="0"/>
                <w:color w:val="000000"/>
                <w:kern w:val="0"/>
                <w:sz w:val="18"/>
                <w:szCs w:val="18"/>
                <w:u w:val="none"/>
                <w:lang w:val="en-US" w:eastAsia="zh-CN" w:bidi="ar"/>
              </w:rPr>
              <w:t>(人民币万元)</w:t>
            </w:r>
          </w:p>
        </w:tc>
        <w:tc>
          <w:tcPr>
            <w:tcW w:w="171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本</w:t>
            </w:r>
            <w:r>
              <w:rPr>
                <w:rFonts w:hint="eastAsia" w:ascii="宋体" w:hAnsi="宋体" w:eastAsia="宋体" w:cs="宋体"/>
                <w:b/>
                <w:i w:val="0"/>
                <w:color w:val="000000"/>
                <w:kern w:val="0"/>
                <w:sz w:val="21"/>
                <w:szCs w:val="21"/>
                <w:u w:val="none"/>
                <w:lang w:val="en-US" w:eastAsia="zh-CN" w:bidi="ar"/>
              </w:rPr>
              <w:t>包最高限价</w:t>
            </w:r>
            <w:r>
              <w:rPr>
                <w:rFonts w:hint="eastAsia" w:ascii="宋体" w:hAnsi="宋体" w:cs="宋体"/>
                <w:b/>
                <w:i w:val="0"/>
                <w:color w:val="000000"/>
                <w:kern w:val="0"/>
                <w:sz w:val="21"/>
                <w:szCs w:val="21"/>
                <w:u w:val="none"/>
                <w:lang w:val="en-US" w:eastAsia="zh-CN" w:bidi="ar"/>
              </w:rPr>
              <w:t xml:space="preserve">  </w:t>
            </w:r>
            <w:r>
              <w:rPr>
                <w:rFonts w:hint="eastAsia" w:ascii="宋体" w:hAnsi="宋体" w:cs="宋体"/>
                <w:b/>
                <w:i w:val="0"/>
                <w:color w:val="000000"/>
                <w:kern w:val="0"/>
                <w:sz w:val="18"/>
                <w:szCs w:val="18"/>
                <w:u w:val="none"/>
                <w:lang w:val="en-US" w:eastAsia="zh-CN" w:bidi="ar"/>
              </w:rPr>
              <w:t>(人民币万元)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04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eastAsia="zh-CN"/>
              </w:rPr>
              <w:t>第二包燃油</w:t>
            </w:r>
            <w:r>
              <w:rPr>
                <w:rFonts w:hint="eastAsia" w:ascii="宋体" w:hAnsi="宋体" w:cs="宋体"/>
                <w:b w:val="0"/>
                <w:bCs w:val="0"/>
                <w:i w:val="0"/>
                <w:color w:val="000000"/>
                <w:sz w:val="21"/>
                <w:szCs w:val="21"/>
                <w:u w:val="none"/>
                <w:lang w:val="en-US" w:eastAsia="zh-CN"/>
              </w:rPr>
              <w:t>轿车</w:t>
            </w:r>
          </w:p>
        </w:tc>
        <w:tc>
          <w:tcPr>
            <w:tcW w:w="21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5座轿车</w:t>
            </w:r>
          </w:p>
        </w:tc>
        <w:tc>
          <w:tcPr>
            <w:tcW w:w="10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SA"/>
              </w:rPr>
              <w:t>7辆</w:t>
            </w:r>
          </w:p>
        </w:tc>
        <w:tc>
          <w:tcPr>
            <w:tcW w:w="1558"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135.1</w:t>
            </w:r>
          </w:p>
        </w:tc>
        <w:tc>
          <w:tcPr>
            <w:tcW w:w="1719"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135</w:t>
            </w:r>
          </w:p>
        </w:tc>
      </w:tr>
    </w:tbl>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一、技术要求</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（一）投标人须承诺所投产品和服务符合相关强制性规定。交货时采购人有权要求投标人出具所投产品、服务符合上述规定的证明文件。</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（二）投标文件中对所投产品的名称、品牌、制造商、产地、主要技术性能指标及其在技术、安全、性能、管理、厂家标准、使用年限及售后服务等方面情况提供详细的具有法律效力的技术资料。</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（三）投标文件中提供能够证明所投产品性能质量的证明材料，如检测/检验/试验/测试报告、第三方认证机构出具的认证证书等。</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（四）投标文件中提供能够证明所投产品能力的证明材料，如GB/T19001系列/IS09001系列质量管理体系认证、GB/T24001系列或ISO14001系列环境管理体系认证等。</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投标文件中提供从所投产品原材料采购、设计、加工制作、存储、流通、回收等产品全生命周期各环节，详细阐述该产品节能、环保及绿色供应链管理情况，提供相关证明文件，形式包括证书、图示、文字说明等。</w:t>
      </w:r>
    </w:p>
    <w:p>
      <w:pPr>
        <w:keepNext w:val="0"/>
        <w:keepLines w:val="0"/>
        <w:pageBreakBefore w:val="0"/>
        <w:widowControl w:val="0"/>
        <w:kinsoku/>
        <w:wordWrap/>
        <w:overflowPunct/>
        <w:topLinePunct w:val="0"/>
        <w:bidi w:val="0"/>
        <w:snapToGrid/>
        <w:spacing w:line="440" w:lineRule="exact"/>
        <w:ind w:firstLine="420" w:firstLineChars="200"/>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（六）具体技术需求。</w:t>
      </w:r>
    </w:p>
    <w:p>
      <w:pPr>
        <w:pStyle w:val="11"/>
        <w:rPr>
          <w:rFonts w:hint="eastAsia" w:ascii="宋体" w:hAnsi="宋体" w:cs="宋体"/>
          <w:b/>
          <w:bCs/>
          <w:i w:val="0"/>
          <w:color w:val="000000"/>
          <w:sz w:val="21"/>
          <w:szCs w:val="21"/>
          <w:u w:val="none"/>
          <w:lang w:eastAsia="zh-CN"/>
        </w:rPr>
      </w:pPr>
    </w:p>
    <w:p>
      <w:pPr>
        <w:pStyle w:val="11"/>
        <w:ind w:left="0" w:leftChars="0" w:firstLine="0" w:firstLineChars="0"/>
        <w:rPr>
          <w:b/>
          <w:bCs/>
        </w:rPr>
      </w:pPr>
      <w:r>
        <w:rPr>
          <w:rFonts w:hint="eastAsia" w:ascii="宋体" w:hAnsi="宋体" w:cs="宋体"/>
          <w:b/>
          <w:bCs/>
          <w:i w:val="0"/>
          <w:color w:val="000000"/>
          <w:sz w:val="21"/>
          <w:szCs w:val="21"/>
          <w:u w:val="none"/>
          <w:lang w:eastAsia="zh-CN"/>
        </w:rPr>
        <w:t>第二包</w:t>
      </w:r>
      <w:r>
        <w:rPr>
          <w:rFonts w:hint="eastAsia" w:ascii="宋体" w:hAnsi="宋体" w:cs="宋体"/>
          <w:b/>
          <w:bCs/>
          <w:i w:val="0"/>
          <w:color w:val="000000"/>
          <w:sz w:val="21"/>
          <w:szCs w:val="21"/>
          <w:u w:val="none"/>
          <w:lang w:val="en-US" w:eastAsia="zh-CN"/>
        </w:rPr>
        <w:t>燃油轿车</w:t>
      </w:r>
    </w:p>
    <w:tbl>
      <w:tblPr>
        <w:tblStyle w:val="8"/>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3"/>
        <w:gridCol w:w="601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l2br w:val="nil"/>
              <w:tr2bl w:val="nil"/>
            </w:tcBorders>
            <w:shd w:val="clear" w:color="auto" w:fill="auto"/>
            <w:vAlign w:val="center"/>
          </w:tcPr>
          <w:p>
            <w:pPr>
              <w:widowControl/>
              <w:jc w:val="both"/>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序号</w:t>
            </w:r>
          </w:p>
        </w:tc>
        <w:tc>
          <w:tcPr>
            <w:tcW w:w="1293"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6012"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eastAsia="zh-CN" w:bidi="ar"/>
              </w:rPr>
              <w:t>技术</w:t>
            </w:r>
            <w:r>
              <w:rPr>
                <w:rFonts w:hint="eastAsia" w:asciiTheme="minorEastAsia" w:hAnsiTheme="minorEastAsia" w:eastAsiaTheme="minorEastAsia" w:cstheme="minorEastAsia"/>
                <w:color w:val="000000"/>
                <w:kern w:val="0"/>
                <w:sz w:val="21"/>
                <w:szCs w:val="21"/>
                <w:lang w:bidi="ar"/>
              </w:rPr>
              <w:t>需求</w:t>
            </w:r>
          </w:p>
        </w:tc>
        <w:tc>
          <w:tcPr>
            <w:tcW w:w="933" w:type="dxa"/>
            <w:tcBorders>
              <w:tl2br w:val="nil"/>
              <w:tr2bl w:val="nil"/>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3" w:type="dxa"/>
            <w:tcBorders>
              <w:tl2br w:val="nil"/>
              <w:tr2bl w:val="nil"/>
            </w:tcBorders>
            <w:shd w:val="clear" w:color="auto" w:fill="auto"/>
            <w:vAlign w:val="center"/>
          </w:tcPr>
          <w:p>
            <w:pPr>
              <w:widowControl/>
              <w:ind w:firstLine="210" w:firstLineChars="10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SA"/>
              </w:rPr>
              <w:t>1</w:t>
            </w:r>
          </w:p>
        </w:tc>
        <w:tc>
          <w:tcPr>
            <w:tcW w:w="1293" w:type="dxa"/>
            <w:tcBorders>
              <w:tl2br w:val="nil"/>
              <w:tr2bl w:val="nil"/>
            </w:tcBorders>
            <w:shd w:val="clear" w:color="auto" w:fill="auto"/>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★车型要求</w:t>
            </w:r>
          </w:p>
        </w:tc>
        <w:tc>
          <w:tcPr>
            <w:tcW w:w="6012"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车型必须为列入《道路机动车辆生产企业及产品公告》目录中的产品</w:t>
            </w:r>
            <w:r>
              <w:rPr>
                <w:rFonts w:hint="eastAsia" w:asciiTheme="minorEastAsia" w:hAnsiTheme="minorEastAsia" w:eastAsiaTheme="minorEastAsia" w:cstheme="minorEastAsia"/>
                <w:b/>
                <w:bCs/>
                <w:color w:val="auto"/>
                <w:w w:val="95"/>
                <w:kern w:val="0"/>
                <w:sz w:val="21"/>
                <w:szCs w:val="21"/>
                <w:lang w:val="en-US" w:eastAsia="zh-CN" w:bidi="ar-SA"/>
              </w:rPr>
              <w:t>（提供截图并盖投标人公章）</w:t>
            </w:r>
            <w:r>
              <w:rPr>
                <w:rFonts w:hint="eastAsia" w:asciiTheme="minorEastAsia" w:hAnsiTheme="minorEastAsia" w:eastAsiaTheme="minorEastAsia" w:cstheme="minorEastAsia"/>
                <w:sz w:val="21"/>
                <w:szCs w:val="21"/>
              </w:rPr>
              <w:t>，须能够在北京市登记注册上牌行驶。</w:t>
            </w:r>
          </w:p>
        </w:tc>
        <w:tc>
          <w:tcPr>
            <w:tcW w:w="933" w:type="dxa"/>
            <w:tcBorders>
              <w:tl2br w:val="nil"/>
              <w:tr2bl w:val="nil"/>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3" w:type="dxa"/>
            <w:tcBorders>
              <w:tl2br w:val="nil"/>
              <w:tr2bl w:val="nil"/>
            </w:tcBorders>
            <w:shd w:val="clear" w:color="auto" w:fill="auto"/>
            <w:vAlign w:val="center"/>
          </w:tcPr>
          <w:p>
            <w:pPr>
              <w:pStyle w:val="12"/>
              <w:kinsoku w:val="0"/>
              <w:overflowPunct w:val="0"/>
              <w:spacing w:line="287" w:lineRule="exact"/>
              <w:ind w:left="179" w:lef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293" w:type="dxa"/>
            <w:tcBorders>
              <w:tl2br w:val="nil"/>
              <w:tr2bl w:val="nil"/>
            </w:tcBorders>
            <w:shd w:val="clear" w:color="auto" w:fill="auto"/>
            <w:vAlign w:val="center"/>
          </w:tcPr>
          <w:p>
            <w:pPr>
              <w:pStyle w:val="12"/>
              <w:kinsoku w:val="0"/>
              <w:overflowPunct w:val="0"/>
              <w:spacing w:line="287"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环保要求</w:t>
            </w:r>
          </w:p>
        </w:tc>
        <w:tc>
          <w:tcPr>
            <w:tcW w:w="6012" w:type="dxa"/>
            <w:tcBorders>
              <w:tl2br w:val="nil"/>
              <w:tr2bl w:val="nil"/>
            </w:tcBorders>
            <w:shd w:val="clear" w:color="auto" w:fill="auto"/>
            <w:vAlign w:val="center"/>
          </w:tcPr>
          <w:p>
            <w:pPr>
              <w:pStyle w:val="12"/>
              <w:kinsoku w:val="0"/>
              <w:overflowPunct w:val="0"/>
              <w:spacing w:line="287"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符合北京市环保要求，能够在北京落户上牌</w:t>
            </w:r>
            <w:r>
              <w:rPr>
                <w:rFonts w:hint="eastAsia" w:asciiTheme="minorEastAsia" w:hAnsiTheme="minorEastAsia" w:eastAsiaTheme="minorEastAsia" w:cstheme="minorEastAsia"/>
                <w:b/>
                <w:bCs/>
                <w:color w:val="auto"/>
                <w:w w:val="95"/>
                <w:kern w:val="0"/>
                <w:sz w:val="21"/>
                <w:szCs w:val="21"/>
                <w:lang w:val="en-US" w:eastAsia="zh-CN" w:bidi="ar-SA"/>
              </w:rPr>
              <w:t>(投标人须提供书面承诺，并盖单位公章)。</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3" w:type="dxa"/>
            <w:tcBorders>
              <w:tl2br w:val="nil"/>
              <w:tr2bl w:val="nil"/>
            </w:tcBorders>
            <w:shd w:val="clear" w:color="auto" w:fill="auto"/>
            <w:vAlign w:val="center"/>
          </w:tcPr>
          <w:p>
            <w:pPr>
              <w:pStyle w:val="12"/>
              <w:kinsoku w:val="0"/>
              <w:overflowPunct w:val="0"/>
              <w:spacing w:before="204"/>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3</w:t>
            </w:r>
          </w:p>
        </w:tc>
        <w:tc>
          <w:tcPr>
            <w:tcW w:w="1293" w:type="dxa"/>
            <w:tcBorders>
              <w:tl2br w:val="nil"/>
              <w:tr2bl w:val="nil"/>
            </w:tcBorders>
            <w:shd w:val="clear" w:color="auto" w:fill="auto"/>
            <w:vAlign w:val="center"/>
          </w:tcPr>
          <w:p>
            <w:pPr>
              <w:pStyle w:val="12"/>
              <w:kinsoku w:val="0"/>
              <w:overflowPunct w:val="0"/>
              <w:spacing w:before="204"/>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lang w:eastAsia="zh-CN"/>
              </w:rPr>
              <w:t>发动机</w:t>
            </w:r>
          </w:p>
        </w:tc>
        <w:tc>
          <w:tcPr>
            <w:tcW w:w="6012" w:type="dxa"/>
            <w:tcBorders>
              <w:tl2br w:val="nil"/>
              <w:tr2bl w:val="nil"/>
            </w:tcBorders>
            <w:shd w:val="clear" w:color="auto" w:fill="auto"/>
            <w:vAlign w:val="center"/>
          </w:tcPr>
          <w:p>
            <w:pPr>
              <w:pStyle w:val="12"/>
              <w:kinsoku w:val="0"/>
              <w:overflowPunct w:val="0"/>
              <w:spacing w:line="286" w:lineRule="exact"/>
              <w:ind w:left="12" w:leftChars="0" w:right="-2" w:rightChars="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w w:val="95"/>
                <w:sz w:val="21"/>
                <w:szCs w:val="21"/>
                <w:lang w:eastAsia="zh-CN"/>
              </w:rPr>
              <w:t>汽油</w:t>
            </w:r>
            <w:r>
              <w:rPr>
                <w:rFonts w:hint="eastAsia" w:asciiTheme="minorEastAsia" w:hAnsiTheme="minorEastAsia" w:eastAsiaTheme="minorEastAsia" w:cstheme="minorEastAsia"/>
                <w:b/>
                <w:bCs/>
                <w:w w:val="95"/>
                <w:sz w:val="21"/>
                <w:szCs w:val="21"/>
                <w:lang w:eastAsia="zh-CN"/>
              </w:rPr>
              <w:t>（需提供机动车出厂合格证复印件并加盖投标人公章）</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23" w:type="dxa"/>
            <w:tcBorders>
              <w:tl2br w:val="nil"/>
              <w:tr2bl w:val="nil"/>
            </w:tcBorders>
            <w:shd w:val="clear" w:color="auto" w:fill="auto"/>
            <w:vAlign w:val="center"/>
          </w:tcPr>
          <w:p>
            <w:pPr>
              <w:pStyle w:val="12"/>
              <w:kinsoku w:val="0"/>
              <w:overflowPunct w:val="0"/>
              <w:spacing w:line="287" w:lineRule="exact"/>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4</w:t>
            </w:r>
          </w:p>
        </w:tc>
        <w:tc>
          <w:tcPr>
            <w:tcW w:w="1293" w:type="dxa"/>
            <w:tcBorders>
              <w:tl2br w:val="nil"/>
              <w:tr2bl w:val="nil"/>
            </w:tcBorders>
            <w:shd w:val="clear" w:color="auto" w:fill="auto"/>
            <w:vAlign w:val="center"/>
          </w:tcPr>
          <w:p>
            <w:pPr>
              <w:pStyle w:val="12"/>
              <w:kinsoku w:val="0"/>
              <w:overflowPunct w:val="0"/>
              <w:spacing w:before="20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★排放标准</w:t>
            </w:r>
          </w:p>
        </w:tc>
        <w:tc>
          <w:tcPr>
            <w:tcW w:w="6012" w:type="dxa"/>
            <w:tcBorders>
              <w:tl2br w:val="nil"/>
              <w:tr2bl w:val="nil"/>
            </w:tcBorders>
            <w:shd w:val="clear" w:color="auto" w:fill="auto"/>
            <w:vAlign w:val="center"/>
          </w:tcPr>
          <w:p>
            <w:pPr>
              <w:pStyle w:val="12"/>
              <w:kinsoku w:val="0"/>
              <w:overflowPunct w:val="0"/>
              <w:spacing w:line="286" w:lineRule="exact"/>
              <w:ind w:left="12" w:leftChars="0" w:right="-2"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95"/>
                <w:sz w:val="21"/>
                <w:szCs w:val="21"/>
              </w:rPr>
              <w:t>≥国六</w:t>
            </w:r>
            <w:r>
              <w:rPr>
                <w:rFonts w:hint="eastAsia" w:asciiTheme="minorEastAsia" w:hAnsiTheme="minorEastAsia" w:eastAsiaTheme="minorEastAsia" w:cstheme="minorEastAsia"/>
                <w:w w:val="95"/>
                <w:sz w:val="21"/>
                <w:szCs w:val="21"/>
                <w:lang w:val="en-US" w:eastAsia="zh-CN"/>
              </w:rPr>
              <w:t xml:space="preserve">B </w:t>
            </w:r>
            <w:r>
              <w:rPr>
                <w:rFonts w:hint="eastAsia" w:asciiTheme="minorEastAsia" w:hAnsiTheme="minorEastAsia" w:eastAsiaTheme="minorEastAsia" w:cstheme="minorEastAsia"/>
                <w:b/>
                <w:bCs/>
                <w:spacing w:val="-1"/>
                <w:w w:val="95"/>
                <w:sz w:val="21"/>
                <w:szCs w:val="21"/>
              </w:rPr>
              <w:t>（须提供机动车环保网查询截图并</w:t>
            </w:r>
            <w:r>
              <w:rPr>
                <w:rFonts w:hint="eastAsia" w:asciiTheme="minorEastAsia" w:hAnsiTheme="minorEastAsia" w:eastAsiaTheme="minorEastAsia" w:cstheme="minorEastAsia"/>
                <w:b/>
                <w:bCs/>
                <w:sz w:val="21"/>
                <w:szCs w:val="21"/>
              </w:rPr>
              <w:t>加</w:t>
            </w:r>
            <w:r>
              <w:rPr>
                <w:rFonts w:hint="eastAsia" w:asciiTheme="minorEastAsia" w:hAnsiTheme="minorEastAsia" w:eastAsiaTheme="minorEastAsia" w:cstheme="minorEastAsia"/>
                <w:b/>
                <w:bCs/>
                <w:spacing w:val="-1"/>
                <w:w w:val="95"/>
                <w:sz w:val="21"/>
                <w:szCs w:val="21"/>
              </w:rPr>
              <w:t>盖投标人公章）</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7" w:lineRule="exact"/>
              <w:ind w:left="179"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1293" w:type="dxa"/>
            <w:tcBorders>
              <w:tl2br w:val="nil"/>
              <w:tr2bl w:val="nil"/>
            </w:tcBorders>
            <w:shd w:val="clear" w:color="auto" w:fill="auto"/>
            <w:vAlign w:val="center"/>
          </w:tcPr>
          <w:p>
            <w:pPr>
              <w:pStyle w:val="12"/>
              <w:kinsoku w:val="0"/>
              <w:overflowPunct w:val="0"/>
              <w:spacing w:line="287"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总质量</w:t>
            </w:r>
          </w:p>
        </w:tc>
        <w:tc>
          <w:tcPr>
            <w:tcW w:w="6012" w:type="dxa"/>
            <w:tcBorders>
              <w:tl2br w:val="nil"/>
              <w:tr2bl w:val="nil"/>
            </w:tcBorders>
            <w:shd w:val="clear" w:color="auto" w:fill="auto"/>
            <w:vAlign w:val="center"/>
          </w:tcPr>
          <w:p>
            <w:pPr>
              <w:pStyle w:val="12"/>
              <w:kinsoku w:val="0"/>
              <w:overflowPunct w:val="0"/>
              <w:spacing w:line="287" w:lineRule="exact"/>
              <w:ind w:left="2" w:left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w w:val="95"/>
                <w:sz w:val="21"/>
                <w:szCs w:val="21"/>
                <w:lang w:val="en-US" w:eastAsia="zh-CN"/>
              </w:rPr>
              <w:t>≥1900kg</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tcBorders>
              <w:tl2br w:val="nil"/>
              <w:tr2bl w:val="nil"/>
            </w:tcBorders>
            <w:shd w:val="clear" w:color="auto" w:fill="auto"/>
            <w:vAlign w:val="center"/>
          </w:tcPr>
          <w:p>
            <w:pPr>
              <w:pStyle w:val="12"/>
              <w:kinsoku w:val="0"/>
              <w:overflowPunct w:val="0"/>
              <w:spacing w:line="286" w:lineRule="exact"/>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6</w:t>
            </w:r>
          </w:p>
        </w:tc>
        <w:tc>
          <w:tcPr>
            <w:tcW w:w="1293" w:type="dxa"/>
            <w:tcBorders>
              <w:tl2br w:val="nil"/>
              <w:tr2bl w:val="nil"/>
            </w:tcBorders>
            <w:shd w:val="clear" w:color="auto" w:fill="auto"/>
            <w:vAlign w:val="center"/>
          </w:tcPr>
          <w:p>
            <w:pPr>
              <w:pStyle w:val="12"/>
              <w:kinsoku w:val="0"/>
              <w:overflowPunct w:val="0"/>
              <w:spacing w:before="2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★排量</w:t>
            </w:r>
          </w:p>
        </w:tc>
        <w:tc>
          <w:tcPr>
            <w:tcW w:w="6012" w:type="dxa"/>
            <w:tcBorders>
              <w:tl2br w:val="nil"/>
              <w:tr2bl w:val="nil"/>
            </w:tcBorders>
            <w:shd w:val="clear" w:color="auto" w:fill="auto"/>
            <w:vAlign w:val="center"/>
          </w:tcPr>
          <w:p>
            <w:pPr>
              <w:pStyle w:val="12"/>
              <w:kinsoku w:val="0"/>
              <w:overflowPunct w:val="0"/>
              <w:spacing w:line="286" w:lineRule="exact"/>
              <w:ind w:left="12" w:leftChars="0" w:right="-2" w:rightChars="0"/>
              <w:jc w:val="both"/>
              <w:rPr>
                <w:rFonts w:hint="eastAsia" w:asciiTheme="minorEastAsia" w:hAnsiTheme="minorEastAsia" w:eastAsiaTheme="minorEastAsia" w:cstheme="minorEastAsia"/>
                <w:spacing w:val="-79"/>
                <w:w w:val="95"/>
                <w:sz w:val="21"/>
                <w:szCs w:val="21"/>
                <w:lang w:val="en-US" w:eastAsia="zh-CN"/>
              </w:rPr>
            </w:pPr>
            <w:r>
              <w:rPr>
                <w:rFonts w:hint="eastAsia" w:asciiTheme="minorEastAsia" w:hAnsiTheme="minorEastAsia" w:eastAsiaTheme="minorEastAsia" w:cstheme="minorEastAsia"/>
                <w:sz w:val="21"/>
                <w:szCs w:val="21"/>
                <w:lang w:val="en-US" w:eastAsia="zh-CN"/>
              </w:rPr>
              <w:t>1.4L</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
                <w:w w:val="95"/>
                <w:sz w:val="21"/>
                <w:szCs w:val="21"/>
                <w:lang w:val="en-US" w:eastAsia="zh-CN"/>
              </w:rPr>
              <w:t>排量</w:t>
            </w:r>
            <w:r>
              <w:rPr>
                <w:rFonts w:hint="eastAsia" w:asciiTheme="minorEastAsia" w:hAnsiTheme="minorEastAsia" w:eastAsiaTheme="minorEastAsia" w:cstheme="minorEastAsia"/>
                <w:spacing w:val="1"/>
                <w:w w:val="95"/>
                <w:sz w:val="21"/>
                <w:szCs w:val="21"/>
              </w:rPr>
              <w:t>≤1</w:t>
            </w:r>
            <w:r>
              <w:rPr>
                <w:rFonts w:hint="eastAsia" w:asciiTheme="minorEastAsia" w:hAnsiTheme="minorEastAsia" w:eastAsiaTheme="minorEastAsia" w:cstheme="minorEastAsia"/>
                <w:w w:val="95"/>
                <w:sz w:val="21"/>
                <w:szCs w:val="21"/>
              </w:rPr>
              <w:t>.</w:t>
            </w:r>
            <w:r>
              <w:rPr>
                <w:rFonts w:hint="eastAsia" w:asciiTheme="minorEastAsia" w:hAnsiTheme="minorEastAsia" w:eastAsiaTheme="minorEastAsia" w:cstheme="minorEastAsia"/>
                <w:w w:val="95"/>
                <w:sz w:val="21"/>
                <w:szCs w:val="21"/>
                <w:lang w:val="en-US" w:eastAsia="zh-CN"/>
              </w:rPr>
              <w:t>6</w:t>
            </w:r>
            <w:r>
              <w:rPr>
                <w:rFonts w:hint="eastAsia" w:asciiTheme="minorEastAsia" w:hAnsiTheme="minorEastAsia" w:eastAsiaTheme="minorEastAsia" w:cstheme="minorEastAsia"/>
                <w:spacing w:val="-79"/>
                <w:w w:val="95"/>
                <w:sz w:val="21"/>
                <w:szCs w:val="21"/>
              </w:rPr>
              <w:t>L</w:t>
            </w:r>
            <w:r>
              <w:rPr>
                <w:rFonts w:hint="eastAsia" w:asciiTheme="minorEastAsia" w:hAnsiTheme="minorEastAsia" w:eastAsiaTheme="minorEastAsia" w:cstheme="minorEastAsia"/>
                <w:spacing w:val="-79"/>
                <w:w w:val="95"/>
                <w:sz w:val="21"/>
                <w:szCs w:val="21"/>
                <w:lang w:val="en-US" w:eastAsia="zh-CN"/>
              </w:rPr>
              <w:t xml:space="preserve">           </w:t>
            </w:r>
          </w:p>
          <w:p>
            <w:pPr>
              <w:pStyle w:val="12"/>
              <w:kinsoku w:val="0"/>
              <w:overflowPunct w:val="0"/>
              <w:spacing w:line="286" w:lineRule="exact"/>
              <w:ind w:left="12" w:leftChars="0" w:right="-2"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w w:val="95"/>
                <w:sz w:val="21"/>
                <w:szCs w:val="21"/>
              </w:rPr>
              <w:t>（须提供机动车出厂合格证复印件并加盖投标人公章）</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6" w:lineRule="exact"/>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7</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发动机</w:t>
            </w:r>
          </w:p>
        </w:tc>
        <w:tc>
          <w:tcPr>
            <w:tcW w:w="6012" w:type="dxa"/>
            <w:tcBorders>
              <w:tl2br w:val="nil"/>
              <w:tr2bl w:val="nil"/>
            </w:tcBorders>
            <w:shd w:val="clear" w:color="auto" w:fill="auto"/>
            <w:vAlign w:val="center"/>
          </w:tcPr>
          <w:p>
            <w:pPr>
              <w:pStyle w:val="12"/>
              <w:kinsoku w:val="0"/>
              <w:overflowPunct w:val="0"/>
              <w:spacing w:line="286"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汽油</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6" w:lineRule="exact"/>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8</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color w:val="FFFF00"/>
                <w:sz w:val="21"/>
                <w:szCs w:val="21"/>
              </w:rPr>
            </w:pPr>
            <w:r>
              <w:rPr>
                <w:rFonts w:hint="eastAsia" w:asciiTheme="minorEastAsia" w:hAnsiTheme="minorEastAsia" w:eastAsiaTheme="minorEastAsia" w:cstheme="minorEastAsia"/>
                <w:color w:val="auto"/>
                <w:sz w:val="21"/>
                <w:szCs w:val="21"/>
              </w:rPr>
              <w:t>发动机进气形式</w:t>
            </w:r>
          </w:p>
        </w:tc>
        <w:tc>
          <w:tcPr>
            <w:tcW w:w="6012" w:type="dxa"/>
            <w:tcBorders>
              <w:tl2br w:val="nil"/>
              <w:tr2bl w:val="nil"/>
            </w:tcBorders>
            <w:shd w:val="clear" w:color="auto" w:fill="auto"/>
            <w:vAlign w:val="center"/>
          </w:tcPr>
          <w:p>
            <w:pPr>
              <w:pStyle w:val="12"/>
              <w:kinsoku w:val="0"/>
              <w:overflowPunct w:val="0"/>
              <w:spacing w:line="286" w:lineRule="exact"/>
              <w:ind w:left="4"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涡轮增压、缸内直喷</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ind w:left="17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lang w:val="en-US" w:eastAsia="zh-CN"/>
              </w:rPr>
              <w:t>9</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最大功率</w:t>
            </w:r>
          </w:p>
        </w:tc>
        <w:tc>
          <w:tcPr>
            <w:tcW w:w="6012" w:type="dxa"/>
            <w:tcBorders>
              <w:tl2br w:val="nil"/>
              <w:tr2bl w:val="nil"/>
            </w:tcBorders>
            <w:shd w:val="clear" w:color="auto" w:fill="auto"/>
            <w:vAlign w:val="center"/>
          </w:tcPr>
          <w:p>
            <w:pPr>
              <w:pStyle w:val="12"/>
              <w:kinsoku w:val="0"/>
              <w:overflowPunct w:val="0"/>
              <w:spacing w:line="286" w:lineRule="exact"/>
              <w:ind w:left="6"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kW</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ind w:left="119" w:leftChars="0"/>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10</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最大扭矩</w:t>
            </w:r>
          </w:p>
        </w:tc>
        <w:tc>
          <w:tcPr>
            <w:tcW w:w="6012" w:type="dxa"/>
            <w:tcBorders>
              <w:tl2br w:val="nil"/>
              <w:tr2bl w:val="nil"/>
            </w:tcBorders>
            <w:shd w:val="clear" w:color="auto" w:fill="auto"/>
            <w:vAlign w:val="center"/>
          </w:tcPr>
          <w:p>
            <w:pPr>
              <w:pStyle w:val="12"/>
              <w:kinsoku w:val="0"/>
              <w:overflowPunct w:val="0"/>
              <w:spacing w:line="285" w:lineRule="exact"/>
              <w:ind w:left="6"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z w:val="21"/>
                <w:szCs w:val="21"/>
              </w:rPr>
              <w:t>250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N·m</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ind w:left="119" w:leftChars="0"/>
              <w:jc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11</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轴距</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≥2850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mm</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before="65"/>
              <w:ind w:left="11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rPr>
              <w:t>12</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油箱</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L</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6" w:lineRule="exact"/>
              <w:ind w:left="11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rPr>
              <w:t>13</w:t>
            </w:r>
          </w:p>
        </w:tc>
        <w:tc>
          <w:tcPr>
            <w:tcW w:w="1293" w:type="dxa"/>
            <w:tcBorders>
              <w:tl2br w:val="nil"/>
              <w:tr2bl w:val="nil"/>
            </w:tcBorders>
            <w:shd w:val="clear" w:color="auto" w:fill="auto"/>
            <w:vAlign w:val="center"/>
          </w:tcPr>
          <w:p>
            <w:pPr>
              <w:pStyle w:val="12"/>
              <w:kinsoku w:val="0"/>
              <w:overflowPunct w:val="0"/>
              <w:spacing w:before="6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变速箱</w:t>
            </w:r>
          </w:p>
        </w:tc>
        <w:tc>
          <w:tcPr>
            <w:tcW w:w="6012" w:type="dxa"/>
            <w:tcBorders>
              <w:tl2br w:val="nil"/>
              <w:tr2bl w:val="nil"/>
            </w:tcBorders>
            <w:shd w:val="clear" w:color="auto" w:fill="auto"/>
            <w:vAlign w:val="center"/>
          </w:tcPr>
          <w:p>
            <w:pPr>
              <w:pStyle w:val="12"/>
              <w:kinsoku w:val="0"/>
              <w:overflowPunct w:val="0"/>
              <w:spacing w:before="65"/>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自动挡双离合</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驾驶舒适好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6" w:lineRule="exact"/>
              <w:ind w:left="11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rPr>
              <w:t>14</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前进挡</w:t>
            </w:r>
          </w:p>
        </w:tc>
        <w:tc>
          <w:tcPr>
            <w:tcW w:w="6012" w:type="dxa"/>
            <w:tcBorders>
              <w:tl2br w:val="nil"/>
              <w:tr2bl w:val="nil"/>
            </w:tcBorders>
            <w:shd w:val="clear" w:color="auto" w:fill="auto"/>
            <w:vAlign w:val="center"/>
          </w:tcPr>
          <w:p>
            <w:pPr>
              <w:pStyle w:val="12"/>
              <w:kinsoku w:val="0"/>
              <w:overflowPunct w:val="0"/>
              <w:spacing w:line="286"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pacing w:val="-60"/>
                <w:sz w:val="21"/>
                <w:szCs w:val="21"/>
              </w:rPr>
              <w:t xml:space="preserve"> </w:t>
            </w:r>
            <w:r>
              <w:rPr>
                <w:rFonts w:hint="eastAsia" w:asciiTheme="minorEastAsia" w:hAnsiTheme="minorEastAsia" w:eastAsiaTheme="minorEastAsia" w:cstheme="minorEastAsia"/>
                <w:sz w:val="21"/>
                <w:szCs w:val="21"/>
              </w:rPr>
              <w:t>前进挡</w:t>
            </w:r>
          </w:p>
        </w:tc>
        <w:tc>
          <w:tcPr>
            <w:tcW w:w="933" w:type="dxa"/>
            <w:tcBorders>
              <w:tl2br w:val="nil"/>
              <w:tr2bl w:val="nil"/>
            </w:tcBorders>
            <w:vAlign w:val="top"/>
          </w:tcPr>
          <w:p>
            <w:pP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经济性好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6" w:lineRule="exact"/>
              <w:ind w:left="11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驱动方式</w:t>
            </w:r>
          </w:p>
        </w:tc>
        <w:tc>
          <w:tcPr>
            <w:tcW w:w="6012" w:type="dxa"/>
            <w:tcBorders>
              <w:tl2br w:val="nil"/>
              <w:tr2bl w:val="nil"/>
            </w:tcBorders>
            <w:shd w:val="clear" w:color="auto" w:fill="auto"/>
            <w:vAlign w:val="center"/>
          </w:tcPr>
          <w:p>
            <w:pPr>
              <w:pStyle w:val="12"/>
              <w:kinsoku w:val="0"/>
              <w:overflowPunct w:val="0"/>
              <w:spacing w:line="286"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*2</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jc w:val="center"/>
              <w:rPr>
                <w:rFonts w:hint="eastAsia" w:asciiTheme="minorEastAsia" w:hAnsiTheme="minorEastAsia" w:eastAsiaTheme="minorEastAsia" w:cstheme="minorEastAsia"/>
                <w:sz w:val="21"/>
                <w:szCs w:val="21"/>
              </w:rPr>
            </w:pPr>
          </w:p>
          <w:p>
            <w:pPr>
              <w:pStyle w:val="12"/>
              <w:kinsoku w:val="0"/>
              <w:overflowPunct w:val="0"/>
              <w:jc w:val="center"/>
              <w:rPr>
                <w:rFonts w:hint="eastAsia" w:asciiTheme="minorEastAsia" w:hAnsiTheme="minorEastAsia" w:eastAsiaTheme="minorEastAsia" w:cstheme="minorEastAsia"/>
                <w:sz w:val="21"/>
                <w:szCs w:val="21"/>
              </w:rPr>
            </w:pPr>
          </w:p>
          <w:p>
            <w:pPr>
              <w:pStyle w:val="12"/>
              <w:kinsoku w:val="0"/>
              <w:overflowPunct w:val="0"/>
              <w:spacing w:before="6"/>
              <w:jc w:val="center"/>
              <w:rPr>
                <w:rFonts w:hint="eastAsia" w:asciiTheme="minorEastAsia" w:hAnsiTheme="minorEastAsia" w:eastAsiaTheme="minorEastAsia" w:cstheme="minorEastAsia"/>
                <w:sz w:val="21"/>
                <w:szCs w:val="21"/>
              </w:rPr>
            </w:pPr>
          </w:p>
          <w:p>
            <w:pPr>
              <w:pStyle w:val="12"/>
              <w:kinsoku w:val="0"/>
              <w:overflowPunct w:val="0"/>
              <w:ind w:left="116"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pacing w:val="2"/>
                <w:sz w:val="21"/>
                <w:szCs w:val="21"/>
              </w:rPr>
              <w:t>1</w:t>
            </w:r>
            <w:r>
              <w:rPr>
                <w:rFonts w:hint="eastAsia" w:asciiTheme="minorEastAsia" w:hAnsiTheme="minorEastAsia" w:eastAsiaTheme="minorEastAsia" w:cstheme="minorEastAsia"/>
                <w:sz w:val="21"/>
                <w:szCs w:val="21"/>
                <w:lang w:val="en-US" w:eastAsia="zh-CN"/>
              </w:rPr>
              <w:t>6</w:t>
            </w:r>
          </w:p>
        </w:tc>
        <w:tc>
          <w:tcPr>
            <w:tcW w:w="1293" w:type="dxa"/>
            <w:tcBorders>
              <w:tl2br w:val="nil"/>
              <w:tr2bl w:val="nil"/>
            </w:tcBorders>
            <w:shd w:val="clear" w:color="auto" w:fill="auto"/>
            <w:vAlign w:val="center"/>
          </w:tcPr>
          <w:p>
            <w:pPr>
              <w:pStyle w:val="12"/>
              <w:kinsoku w:val="0"/>
              <w:overflowPunct w:val="0"/>
              <w:jc w:val="left"/>
              <w:rPr>
                <w:rFonts w:hint="eastAsia" w:asciiTheme="minorEastAsia" w:hAnsiTheme="minorEastAsia" w:eastAsiaTheme="minorEastAsia" w:cstheme="minorEastAsia"/>
                <w:sz w:val="21"/>
                <w:szCs w:val="21"/>
              </w:rPr>
            </w:pPr>
          </w:p>
          <w:p>
            <w:pPr>
              <w:pStyle w:val="12"/>
              <w:kinsoku w:val="0"/>
              <w:overflowPunct w:val="0"/>
              <w:jc w:val="left"/>
              <w:rPr>
                <w:rFonts w:hint="eastAsia" w:asciiTheme="minorEastAsia" w:hAnsiTheme="minorEastAsia" w:eastAsiaTheme="minorEastAsia" w:cstheme="minorEastAsia"/>
                <w:sz w:val="21"/>
                <w:szCs w:val="21"/>
              </w:rPr>
            </w:pPr>
          </w:p>
          <w:p>
            <w:pPr>
              <w:pStyle w:val="12"/>
              <w:kinsoku w:val="0"/>
              <w:overflowPunct w:val="0"/>
              <w:spacing w:before="6"/>
              <w:jc w:val="left"/>
              <w:rPr>
                <w:rFonts w:hint="eastAsia" w:asciiTheme="minorEastAsia" w:hAnsiTheme="minorEastAsia" w:eastAsiaTheme="minorEastAsia" w:cstheme="minorEastAsia"/>
                <w:sz w:val="21"/>
                <w:szCs w:val="21"/>
              </w:rPr>
            </w:pPr>
          </w:p>
          <w:p>
            <w:pPr>
              <w:pStyle w:val="12"/>
              <w:kinsoku w:val="0"/>
              <w:overflowPunct w:val="0"/>
              <w:jc w:val="left"/>
              <w:rPr>
                <w:rFonts w:hint="eastAsia" w:asciiTheme="minorEastAsia" w:hAnsiTheme="minorEastAsia" w:eastAsiaTheme="minorEastAsia" w:cstheme="minorEastAsia"/>
                <w:sz w:val="21"/>
                <w:szCs w:val="21"/>
              </w:rPr>
            </w:pPr>
            <w:r>
              <w:rPr>
                <w:rFonts w:hint="eastAsia" w:ascii="宋体" w:hAnsi="宋体" w:eastAsia="宋体" w:cs="宋体"/>
                <w:b/>
                <w:color w:val="000000"/>
                <w:sz w:val="21"/>
                <w:szCs w:val="21"/>
              </w:rPr>
              <w:t>△</w:t>
            </w:r>
            <w:r>
              <w:rPr>
                <w:rFonts w:hint="eastAsia" w:asciiTheme="minorEastAsia" w:hAnsiTheme="minorEastAsia" w:eastAsiaTheme="minorEastAsia" w:cstheme="minorEastAsia"/>
                <w:sz w:val="21"/>
                <w:szCs w:val="21"/>
              </w:rPr>
              <w:t>外形尺寸</w:t>
            </w:r>
          </w:p>
        </w:tc>
        <w:tc>
          <w:tcPr>
            <w:tcW w:w="6012" w:type="dxa"/>
            <w:tcBorders>
              <w:tl2br w:val="nil"/>
              <w:tr2bl w:val="nil"/>
            </w:tcBorders>
            <w:shd w:val="clear" w:color="auto" w:fill="auto"/>
            <w:vAlign w:val="center"/>
          </w:tcPr>
          <w:p>
            <w:pPr>
              <w:pStyle w:val="12"/>
              <w:kinsoku w:val="0"/>
              <w:overflowPunct w:val="0"/>
              <w:spacing w:line="286" w:lineRule="exact"/>
              <w:ind w:left="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4900mm≤长≤5000mm</w:t>
            </w:r>
          </w:p>
          <w:p>
            <w:pPr>
              <w:pStyle w:val="12"/>
              <w:kinsoku w:val="0"/>
              <w:overflowPunct w:val="0"/>
              <w:spacing w:before="151"/>
              <w:ind w:left="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1820mm≤宽≤18</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0mm</w:t>
            </w:r>
          </w:p>
          <w:p>
            <w:pPr>
              <w:pStyle w:val="12"/>
              <w:kinsoku w:val="0"/>
              <w:overflowPunct w:val="0"/>
              <w:spacing w:before="151"/>
              <w:ind w:left="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1450mm≤高≤14</w:t>
            </w:r>
            <w:r>
              <w:rPr>
                <w:rFonts w:hint="eastAsia" w:asciiTheme="minorEastAsia" w:hAnsiTheme="minorEastAsia" w:eastAsiaTheme="minorEastAsia" w:cstheme="minorEastAsia"/>
                <w:sz w:val="21"/>
                <w:szCs w:val="21"/>
                <w:lang w:val="en-US" w:eastAsia="zh-CN"/>
              </w:rPr>
              <w:t>80</w:t>
            </w:r>
            <w:r>
              <w:rPr>
                <w:rFonts w:hint="eastAsia" w:asciiTheme="minorEastAsia" w:hAnsiTheme="minorEastAsia" w:eastAsiaTheme="minorEastAsia" w:cstheme="minorEastAsia"/>
                <w:sz w:val="21"/>
                <w:szCs w:val="21"/>
              </w:rPr>
              <w:t>mm</w:t>
            </w:r>
          </w:p>
          <w:p>
            <w:pPr>
              <w:pStyle w:val="12"/>
              <w:kinsoku w:val="0"/>
              <w:overflowPunct w:val="0"/>
              <w:spacing w:before="154" w:line="357" w:lineRule="auto"/>
              <w:ind w:right="75"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w w:val="95"/>
                <w:sz w:val="21"/>
                <w:szCs w:val="21"/>
              </w:rPr>
              <w:t>（须提供机动车出厂合格证复印件并加盖投标人公章）</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7" w:lineRule="exact"/>
              <w:ind w:left="119" w:leftChars="0"/>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17</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轮胎数量</w:t>
            </w:r>
          </w:p>
        </w:tc>
        <w:tc>
          <w:tcPr>
            <w:tcW w:w="6012" w:type="dxa"/>
            <w:tcBorders>
              <w:tl2br w:val="nil"/>
              <w:tr2bl w:val="nil"/>
            </w:tcBorders>
            <w:shd w:val="clear" w:color="auto" w:fill="auto"/>
            <w:vAlign w:val="center"/>
          </w:tcPr>
          <w:p>
            <w:pPr>
              <w:pStyle w:val="12"/>
              <w:kinsoku w:val="0"/>
              <w:overflowPunct w:val="0"/>
              <w:spacing w:line="286"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pacing w:val="-60"/>
                <w:sz w:val="21"/>
                <w:szCs w:val="21"/>
              </w:rPr>
              <w:t xml:space="preserve"> </w:t>
            </w:r>
            <w:r>
              <w:rPr>
                <w:rFonts w:hint="eastAsia" w:asciiTheme="minorEastAsia" w:hAnsiTheme="minorEastAsia" w:eastAsiaTheme="minorEastAsia" w:cstheme="minorEastAsia"/>
                <w:sz w:val="21"/>
                <w:szCs w:val="21"/>
              </w:rPr>
              <w:t>条，</w:t>
            </w:r>
            <w:r>
              <w:rPr>
                <w:rFonts w:hint="eastAsia" w:asciiTheme="minorEastAsia" w:hAnsiTheme="minorEastAsia" w:eastAsiaTheme="minorEastAsia" w:cstheme="minorEastAsia"/>
                <w:sz w:val="21"/>
                <w:szCs w:val="21"/>
                <w:lang w:eastAsia="zh-CN"/>
              </w:rPr>
              <w:t>须</w:t>
            </w:r>
            <w:r>
              <w:rPr>
                <w:rFonts w:hint="eastAsia" w:asciiTheme="minorEastAsia" w:hAnsiTheme="minorEastAsia" w:eastAsiaTheme="minorEastAsia" w:cstheme="minorEastAsia"/>
                <w:sz w:val="21"/>
                <w:szCs w:val="21"/>
              </w:rPr>
              <w:t>带备胎。</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4" w:lineRule="exact"/>
              <w:ind w:left="119" w:leftChars="0"/>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18</w:t>
            </w:r>
          </w:p>
        </w:tc>
        <w:tc>
          <w:tcPr>
            <w:tcW w:w="1293" w:type="dxa"/>
            <w:tcBorders>
              <w:tl2br w:val="nil"/>
              <w:tr2bl w:val="nil"/>
            </w:tcBorders>
            <w:shd w:val="clear" w:color="auto" w:fill="auto"/>
            <w:vAlign w:val="center"/>
          </w:tcPr>
          <w:p>
            <w:pPr>
              <w:pStyle w:val="12"/>
              <w:kinsoku w:val="0"/>
              <w:overflowPunct w:val="0"/>
              <w:spacing w:line="287"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轮胎规格</w:t>
            </w:r>
          </w:p>
        </w:tc>
        <w:tc>
          <w:tcPr>
            <w:tcW w:w="6012" w:type="dxa"/>
            <w:tcBorders>
              <w:tl2br w:val="nil"/>
              <w:tr2bl w:val="nil"/>
            </w:tcBorders>
            <w:shd w:val="clear" w:color="auto" w:fill="auto"/>
            <w:vAlign w:val="center"/>
          </w:tcPr>
          <w:p>
            <w:pPr>
              <w:pStyle w:val="12"/>
              <w:kinsoku w:val="0"/>
              <w:overflowPunct w:val="0"/>
              <w:spacing w:line="287"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≥215/55R1</w:t>
            </w:r>
            <w:r>
              <w:rPr>
                <w:rFonts w:hint="eastAsia" w:asciiTheme="minorEastAsia" w:hAnsiTheme="minorEastAsia" w:eastAsiaTheme="minorEastAsia" w:cstheme="minorEastAsia"/>
                <w:sz w:val="21"/>
                <w:szCs w:val="21"/>
                <w:lang w:val="en-US" w:eastAsia="zh-CN"/>
              </w:rPr>
              <w:t>6</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ind w:left="119" w:leftChars="0"/>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19</w:t>
            </w:r>
          </w:p>
        </w:tc>
        <w:tc>
          <w:tcPr>
            <w:tcW w:w="1293" w:type="dxa"/>
            <w:tcBorders>
              <w:tl2br w:val="nil"/>
              <w:tr2bl w:val="nil"/>
            </w:tcBorders>
            <w:shd w:val="clear" w:color="auto" w:fill="auto"/>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最高车速</w:t>
            </w:r>
          </w:p>
        </w:tc>
        <w:tc>
          <w:tcPr>
            <w:tcW w:w="6012" w:type="dxa"/>
            <w:tcBorders>
              <w:tl2br w:val="nil"/>
              <w:tr2bl w:val="nil"/>
            </w:tcBorders>
            <w:shd w:val="clear" w:color="auto" w:fill="auto"/>
            <w:vAlign w:val="center"/>
          </w:tcPr>
          <w:p>
            <w:pPr>
              <w:pStyle w:val="12"/>
              <w:kinsoku w:val="0"/>
              <w:overflowPunct w:val="0"/>
              <w:spacing w:line="284"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≥200km/h</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ind w:left="119" w:leftChars="0"/>
              <w:jc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sz w:val="21"/>
                <w:szCs w:val="21"/>
              </w:rPr>
              <w:t>20</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空调系统</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冷暖空调</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5" w:lineRule="exact"/>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rPr>
              <w:t>21</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司乘员</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5人</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before="205"/>
              <w:ind w:left="54" w:leftChars="0"/>
              <w:jc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22</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安全气囊</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3" w:type="dxa"/>
            <w:tcBorders>
              <w:tl2br w:val="nil"/>
              <w:tr2bl w:val="nil"/>
            </w:tcBorders>
            <w:shd w:val="clear" w:color="auto" w:fill="auto"/>
            <w:vAlign w:val="center"/>
          </w:tcPr>
          <w:p>
            <w:pPr>
              <w:pStyle w:val="12"/>
              <w:kinsoku w:val="0"/>
              <w:overflowPunct w:val="0"/>
              <w:spacing w:line="287" w:lineRule="exact"/>
              <w:ind w:left="54" w:leftChars="0"/>
              <w:jc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23</w:t>
            </w:r>
          </w:p>
        </w:tc>
        <w:tc>
          <w:tcPr>
            <w:tcW w:w="1293" w:type="dxa"/>
            <w:tcBorders>
              <w:tl2br w:val="nil"/>
              <w:tr2bl w:val="nil"/>
            </w:tcBorders>
            <w:shd w:val="clear" w:color="auto" w:fill="auto"/>
            <w:vAlign w:val="center"/>
          </w:tcPr>
          <w:p>
            <w:pPr>
              <w:pStyle w:val="12"/>
              <w:kinsoku w:val="0"/>
              <w:overflowPunct w:val="0"/>
              <w:spacing w:before="20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转向系统</w:t>
            </w:r>
          </w:p>
        </w:tc>
        <w:tc>
          <w:tcPr>
            <w:tcW w:w="6012" w:type="dxa"/>
            <w:tcBorders>
              <w:tl2br w:val="nil"/>
              <w:tr2bl w:val="nil"/>
            </w:tcBorders>
            <w:shd w:val="clear" w:color="auto" w:fill="auto"/>
            <w:vAlign w:val="center"/>
          </w:tcPr>
          <w:p>
            <w:pPr>
              <w:pStyle w:val="12"/>
              <w:kinsoku w:val="0"/>
              <w:overflowPunct w:val="0"/>
              <w:spacing w:line="286" w:lineRule="exact"/>
              <w:ind w:right="118"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电动助力</w:t>
            </w:r>
          </w:p>
        </w:tc>
        <w:tc>
          <w:tcPr>
            <w:tcW w:w="933" w:type="dxa"/>
            <w:tcBorders>
              <w:tl2br w:val="nil"/>
              <w:tr2bl w:val="nil"/>
            </w:tcBorders>
            <w:shd w:val="clear" w:color="auto" w:fill="auto"/>
            <w:vAlign w:val="top"/>
          </w:tcPr>
          <w:p>
            <w:pPr>
              <w:pStyle w:val="12"/>
              <w:kinsoku w:val="0"/>
              <w:overflowPunct w:val="0"/>
              <w:spacing w:line="286" w:lineRule="exact"/>
              <w:ind w:left="-136" w:leftChars="0"/>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5" w:lineRule="exact"/>
              <w:ind w:left="54" w:lef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24</w:t>
            </w:r>
          </w:p>
        </w:tc>
        <w:tc>
          <w:tcPr>
            <w:tcW w:w="1293" w:type="dxa"/>
            <w:tcBorders>
              <w:tl2br w:val="nil"/>
              <w:tr2bl w:val="nil"/>
            </w:tcBorders>
            <w:shd w:val="clear" w:color="auto" w:fill="auto"/>
            <w:vAlign w:val="center"/>
          </w:tcPr>
          <w:p>
            <w:pPr>
              <w:pStyle w:val="12"/>
              <w:kinsoku w:val="0"/>
              <w:overflowPunct w:val="0"/>
              <w:spacing w:line="287"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WLTC综合油耗（L/100km）</w:t>
            </w:r>
          </w:p>
        </w:tc>
        <w:tc>
          <w:tcPr>
            <w:tcW w:w="6012" w:type="dxa"/>
            <w:tcBorders>
              <w:tl2br w:val="nil"/>
              <w:tr2bl w:val="nil"/>
            </w:tcBorders>
            <w:shd w:val="clear" w:color="auto" w:fill="auto"/>
            <w:vAlign w:val="center"/>
          </w:tcPr>
          <w:p>
            <w:pPr>
              <w:pStyle w:val="12"/>
              <w:kinsoku w:val="0"/>
              <w:overflowPunct w:val="0"/>
              <w:spacing w:line="287" w:lineRule="exact"/>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pacing w:val="1"/>
                <w:w w:val="95"/>
                <w:sz w:val="21"/>
                <w:szCs w:val="21"/>
              </w:rPr>
              <w:t>≤6.5</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5" w:lineRule="exact"/>
              <w:ind w:left="54" w:lef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25</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后备箱容积</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≥500L</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5" w:lineRule="exact"/>
              <w:ind w:firstLine="210" w:firstLineChars="10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26</w:t>
            </w:r>
          </w:p>
        </w:tc>
        <w:tc>
          <w:tcPr>
            <w:tcW w:w="1293" w:type="dxa"/>
            <w:tcBorders>
              <w:tl2br w:val="nil"/>
              <w:tr2bl w:val="nil"/>
            </w:tcBorders>
            <w:shd w:val="clear" w:color="auto" w:fill="auto"/>
            <w:vAlign w:val="center"/>
          </w:tcPr>
          <w:p>
            <w:pPr>
              <w:pStyle w:val="12"/>
              <w:kinsoku w:val="0"/>
              <w:overflowPunct w:val="0"/>
              <w:spacing w:line="284"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★车载室内监控</w:t>
            </w:r>
          </w:p>
        </w:tc>
        <w:tc>
          <w:tcPr>
            <w:tcW w:w="6012" w:type="dxa"/>
            <w:tcBorders>
              <w:tl2br w:val="nil"/>
              <w:tr2bl w:val="nil"/>
            </w:tcBorders>
            <w:shd w:val="clear" w:color="auto" w:fill="auto"/>
            <w:vAlign w:val="center"/>
          </w:tcPr>
          <w:p>
            <w:pPr>
              <w:pStyle w:val="12"/>
              <w:kinsoku w:val="0"/>
              <w:overflowPunct w:val="0"/>
              <w:spacing w:line="284" w:lineRule="exact"/>
              <w:ind w:left="2" w:left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车载室内监控（两个120°摄像头）</w:t>
            </w:r>
          </w:p>
        </w:tc>
        <w:tc>
          <w:tcPr>
            <w:tcW w:w="933" w:type="dxa"/>
            <w:tcBorders>
              <w:tl2br w:val="nil"/>
              <w:tr2bl w:val="nil"/>
            </w:tcBorders>
            <w:shd w:val="clear" w:color="auto" w:fill="auto"/>
            <w:vAlign w:val="top"/>
          </w:tcPr>
          <w:p>
            <w:pPr>
              <w:jc w:val="left"/>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可接受原车加装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5" w:lineRule="exact"/>
              <w:ind w:left="54" w:lef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293" w:type="dxa"/>
            <w:tcBorders>
              <w:tl2br w:val="nil"/>
              <w:tr2bl w:val="nil"/>
            </w:tcBorders>
            <w:shd w:val="clear" w:color="auto" w:fill="auto"/>
            <w:vAlign w:val="center"/>
          </w:tcPr>
          <w:p>
            <w:pPr>
              <w:pStyle w:val="12"/>
              <w:kinsoku w:val="0"/>
              <w:overflowPunct w:val="0"/>
              <w:spacing w:line="285"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★车载室外监控</w:t>
            </w:r>
          </w:p>
        </w:tc>
        <w:tc>
          <w:tcPr>
            <w:tcW w:w="6012" w:type="dxa"/>
            <w:tcBorders>
              <w:tl2br w:val="nil"/>
              <w:tr2bl w:val="nil"/>
            </w:tcBorders>
            <w:shd w:val="clear" w:color="auto" w:fill="auto"/>
            <w:vAlign w:val="center"/>
          </w:tcPr>
          <w:p>
            <w:pPr>
              <w:pStyle w:val="12"/>
              <w:kinsoku w:val="0"/>
              <w:overflowPunct w:val="0"/>
              <w:spacing w:line="285" w:lineRule="exact"/>
              <w:ind w:left="2" w:left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室外车前120度摄像头，车后120°摄像头</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可接受原车加装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5"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28</w:t>
            </w:r>
          </w:p>
        </w:tc>
        <w:tc>
          <w:tcPr>
            <w:tcW w:w="1293" w:type="dxa"/>
            <w:tcBorders>
              <w:tl2br w:val="nil"/>
              <w:tr2bl w:val="nil"/>
            </w:tcBorders>
            <w:shd w:val="clear" w:color="auto" w:fill="auto"/>
            <w:vAlign w:val="center"/>
          </w:tcPr>
          <w:p>
            <w:pPr>
              <w:pStyle w:val="12"/>
              <w:kinsoku w:val="0"/>
              <w:overflowPunct w:val="0"/>
              <w:spacing w:line="286"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车载硬盘</w:t>
            </w:r>
          </w:p>
        </w:tc>
        <w:tc>
          <w:tcPr>
            <w:tcW w:w="6012" w:type="dxa"/>
            <w:tcBorders>
              <w:tl2br w:val="nil"/>
              <w:tr2bl w:val="nil"/>
            </w:tcBorders>
            <w:shd w:val="clear" w:color="auto" w:fill="auto"/>
            <w:vAlign w:val="center"/>
          </w:tcPr>
          <w:p>
            <w:pPr>
              <w:pStyle w:val="12"/>
              <w:kinsoku w:val="0"/>
              <w:overflowPunct w:val="0"/>
              <w:spacing w:line="286" w:lineRule="exact"/>
              <w:ind w:left="2" w:leftChars="0"/>
              <w:jc w:val="both"/>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rPr>
              <w:t>内存≥2TB</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可接受原车加装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3" w:type="dxa"/>
            <w:tcBorders>
              <w:tl2br w:val="nil"/>
              <w:tr2bl w:val="nil"/>
            </w:tcBorders>
            <w:shd w:val="clear" w:color="auto" w:fill="auto"/>
            <w:vAlign w:val="center"/>
          </w:tcPr>
          <w:p>
            <w:pPr>
              <w:pStyle w:val="12"/>
              <w:kinsoku w:val="0"/>
              <w:overflowPunct w:val="0"/>
              <w:spacing w:line="287"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29</w:t>
            </w:r>
          </w:p>
        </w:tc>
        <w:tc>
          <w:tcPr>
            <w:tcW w:w="1293" w:type="dxa"/>
            <w:tcBorders>
              <w:tl2br w:val="nil"/>
              <w:tr2bl w:val="nil"/>
            </w:tcBorders>
            <w:shd w:val="clear" w:color="auto" w:fill="auto"/>
            <w:vAlign w:val="center"/>
          </w:tcPr>
          <w:p>
            <w:pPr>
              <w:pStyle w:val="12"/>
              <w:kinsoku w:val="0"/>
              <w:overflowPunct w:val="0"/>
              <w:spacing w:line="284" w:lineRule="exact"/>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eastAsia="zh-CN"/>
              </w:rPr>
              <w:t>质保期</w:t>
            </w:r>
          </w:p>
        </w:tc>
        <w:tc>
          <w:tcPr>
            <w:tcW w:w="6012" w:type="dxa"/>
            <w:tcBorders>
              <w:tl2br w:val="nil"/>
              <w:tr2bl w:val="nil"/>
            </w:tcBorders>
            <w:shd w:val="clear" w:color="auto" w:fill="auto"/>
            <w:vAlign w:val="center"/>
          </w:tcPr>
          <w:p>
            <w:pPr>
              <w:pStyle w:val="12"/>
              <w:kinsoku w:val="0"/>
              <w:overflowPunct w:val="0"/>
              <w:spacing w:line="286" w:lineRule="exac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整车质保三年或10万公里</w:t>
            </w:r>
          </w:p>
        </w:tc>
        <w:tc>
          <w:tcPr>
            <w:tcW w:w="933" w:type="dxa"/>
            <w:tcBorders>
              <w:tl2br w:val="nil"/>
              <w:tr2bl w:val="nil"/>
            </w:tcBorders>
            <w:shd w:val="clear" w:color="auto" w:fill="auto"/>
            <w:vAlign w:val="top"/>
          </w:tcPr>
          <w:p>
            <w:pPr>
              <w:rPr>
                <w:rFonts w:hint="eastAsia" w:asciiTheme="minorEastAsia" w:hAnsiTheme="minorEastAsia" w:eastAsiaTheme="minorEastAsia" w:cstheme="minorEastAsia"/>
                <w:color w:val="000000"/>
                <w:kern w:val="0"/>
                <w:sz w:val="21"/>
                <w:szCs w:val="21"/>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警灯警报器</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警灯长度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1.4m，警报器可喊话，可插U盘，喇叭功率</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3000W</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警灯凸台</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模具冲压成型</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爆闪一体灯</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红蓝爆闪</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照明爆闪</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数量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4个</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LED灯脉冲器</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LED灯</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警用字样</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中华人民共和国公共安全行业标准</w:t>
            </w:r>
            <w:r>
              <w:rPr>
                <w:rFonts w:hint="eastAsia" w:asciiTheme="minorEastAsia" w:hAnsiTheme="minorEastAsia" w:eastAsiaTheme="minorEastAsia" w:cstheme="minorEastAsia"/>
                <w:sz w:val="21"/>
                <w:szCs w:val="21"/>
                <w:lang w:val="en-US" w:eastAsia="zh-CN"/>
              </w:rPr>
              <w:t>GA923-2011</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6" w:hRule="exac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7" w:lineRule="exact"/>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外观标识</w:t>
            </w:r>
          </w:p>
        </w:tc>
        <w:tc>
          <w:tcPr>
            <w:tcW w:w="6012" w:type="dxa"/>
            <w:tcBorders>
              <w:top w:val="single" w:color="000000" w:sz="4" w:space="0"/>
              <w:left w:val="single" w:color="000000" w:sz="4" w:space="0"/>
              <w:bottom w:val="single" w:color="000000" w:sz="4" w:space="0"/>
              <w:right w:val="single" w:color="000000" w:sz="4" w:space="0"/>
            </w:tcBorders>
            <w:noWrap w:val="0"/>
            <w:vAlign w:val="center"/>
          </w:tcPr>
          <w:p>
            <w:pPr>
              <w:pStyle w:val="12"/>
              <w:kinsoku w:val="0"/>
              <w:overflowPunct w:val="0"/>
              <w:spacing w:line="284"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执行</w:t>
            </w:r>
            <w:r>
              <w:rPr>
                <w:rFonts w:hint="eastAsia" w:asciiTheme="minorEastAsia" w:hAnsiTheme="minorEastAsia" w:eastAsiaTheme="minorEastAsia" w:cstheme="minorEastAsia"/>
                <w:sz w:val="21"/>
                <w:szCs w:val="21"/>
                <w:lang w:val="en-US" w:eastAsia="zh-CN"/>
              </w:rPr>
              <w:t>GA524-2004《2004式警车汽车类外观制式涂装规范》标准</w:t>
            </w:r>
          </w:p>
        </w:tc>
        <w:tc>
          <w:tcPr>
            <w:tcW w:w="93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heme="minorEastAsia" w:hAnsiTheme="minorEastAsia" w:eastAsiaTheme="minorEastAsia" w:cstheme="minorEastAsia"/>
                <w:color w:val="FF0000"/>
                <w:sz w:val="21"/>
                <w:szCs w:val="21"/>
              </w:rPr>
            </w:pPr>
          </w:p>
        </w:tc>
      </w:tr>
    </w:tbl>
    <w:p>
      <w:pPr>
        <w:pStyle w:val="7"/>
        <w:ind w:left="0" w:leftChars="0" w:firstLine="0" w:firstLineChars="0"/>
        <w:rPr>
          <w:rFonts w:hint="eastAsia" w:asciiTheme="minorEastAsia" w:hAnsiTheme="minorEastAsia" w:eastAsiaTheme="minorEastAsia" w:cstheme="minorEastAsia"/>
          <w:b/>
          <w:bCs/>
          <w:color w:val="000000"/>
          <w:sz w:val="21"/>
          <w:szCs w:val="21"/>
          <w:lang w:eastAsia="zh-CN" w:bidi="ar"/>
        </w:rPr>
      </w:pPr>
      <w:r>
        <w:rPr>
          <w:rFonts w:hint="eastAsia" w:asciiTheme="minorEastAsia" w:hAnsiTheme="minorEastAsia" w:eastAsiaTheme="minorEastAsia" w:cstheme="minorEastAsia"/>
          <w:b/>
          <w:bCs/>
          <w:color w:val="000000"/>
          <w:sz w:val="21"/>
          <w:szCs w:val="21"/>
          <w:lang w:bidi="ar"/>
        </w:rPr>
        <w:t>说明：标注★的项目为必须实质满足项，不满足视为未实质响应，视为投标无效</w:t>
      </w:r>
      <w:r>
        <w:rPr>
          <w:rFonts w:hint="eastAsia" w:asciiTheme="minorEastAsia" w:hAnsiTheme="minorEastAsia" w:eastAsiaTheme="minorEastAsia" w:cstheme="minorEastAsia"/>
          <w:b/>
          <w:bCs/>
          <w:color w:val="000000"/>
          <w:sz w:val="21"/>
          <w:szCs w:val="21"/>
          <w:lang w:eastAsia="zh-CN" w:bidi="ar"/>
        </w:rPr>
        <w:t>。</w:t>
      </w:r>
      <w:r>
        <w:rPr>
          <w:rFonts w:hint="eastAsia" w:asciiTheme="minorEastAsia" w:hAnsiTheme="minorEastAsia" w:eastAsiaTheme="minorEastAsia" w:cstheme="minorEastAsia"/>
          <w:b/>
          <w:bCs/>
          <w:color w:val="000000"/>
          <w:sz w:val="21"/>
          <w:szCs w:val="21"/>
          <w:lang w:bidi="ar"/>
        </w:rPr>
        <w:t>标注</w:t>
      </w:r>
      <w:r>
        <w:rPr>
          <w:rFonts w:hint="eastAsia" w:ascii="宋体" w:hAnsi="宋体" w:eastAsia="宋体" w:cs="宋体"/>
          <w:b/>
          <w:color w:val="000000"/>
          <w:sz w:val="21"/>
          <w:szCs w:val="21"/>
        </w:rPr>
        <w:t>△</w:t>
      </w:r>
      <w:r>
        <w:rPr>
          <w:rFonts w:hint="eastAsia" w:ascii="宋体" w:hAnsi="宋体" w:cs="宋体"/>
          <w:b/>
          <w:color w:val="000000"/>
          <w:sz w:val="21"/>
          <w:szCs w:val="21"/>
          <w:lang w:eastAsia="zh-CN"/>
        </w:rPr>
        <w:t>的项目</w:t>
      </w:r>
      <w:r>
        <w:rPr>
          <w:rFonts w:hint="eastAsia" w:ascii="宋体" w:hAnsi="宋体" w:eastAsia="宋体" w:cs="宋体"/>
          <w:b/>
          <w:color w:val="000000"/>
          <w:sz w:val="21"/>
          <w:szCs w:val="21"/>
          <w:lang w:eastAsia="zh-CN"/>
        </w:rPr>
        <w:t>为评标标准中“</w:t>
      </w:r>
      <w:r>
        <w:rPr>
          <w:rFonts w:ascii="宋体" w:hAnsi="宋体" w:eastAsia="宋体" w:cs="宋体"/>
          <w:b/>
          <w:color w:val="000000"/>
          <w:sz w:val="21"/>
          <w:szCs w:val="21"/>
        </w:rPr>
        <w:t>产品整体性能评价</w:t>
      </w:r>
      <w:r>
        <w:rPr>
          <w:rFonts w:hint="eastAsia" w:ascii="宋体" w:hAnsi="宋体" w:eastAsia="宋体" w:cs="宋体"/>
          <w:b/>
          <w:color w:val="000000"/>
          <w:sz w:val="21"/>
          <w:szCs w:val="21"/>
          <w:lang w:eastAsia="zh-CN"/>
        </w:rPr>
        <w:t>”的首要技术指标，此项不满足视为未完全符合。</w:t>
      </w:r>
    </w:p>
    <w:p>
      <w:pPr>
        <w:pStyle w:val="6"/>
        <w:rPr>
          <w:rFonts w:hint="eastAsia" w:asciiTheme="minorEastAsia" w:hAnsiTheme="minorEastAsia" w:eastAsiaTheme="minorEastAsia" w:cstheme="minorEastAsia"/>
          <w:snapToGrid/>
          <w:color w:val="auto"/>
          <w:sz w:val="21"/>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eastAsia="zh-CN"/>
        </w:rPr>
        <w:t>二</w:t>
      </w:r>
      <w:r>
        <w:rPr>
          <w:rFonts w:hint="eastAsia"/>
          <w:b/>
          <w:bCs/>
        </w:rPr>
        <w:t>、车辆改装设计要求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(1)技术方案应包括车辆总体布置图、配置清单，要求与最终改装效果相同，能够清楚表现出车内相应设备的摆放及部署安装位置，体现改装需求中提出的相应要求如尺寸、布局合理性等。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(2)设计过程中必须考虑到实际使用中的快速、便捷、安全、性能稳定，能够保障车辆随时处理突发事件。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(3)设计过程中要考虑车辆使用环境为全天候，适应各种天气与气候。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eastAsia="zh-CN"/>
        </w:rPr>
        <w:t>三</w:t>
      </w:r>
      <w:r>
        <w:rPr>
          <w:rFonts w:hint="eastAsia"/>
          <w:b/>
          <w:bCs/>
        </w:rPr>
        <w:t>、基本技术要求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(1)保证技术及设备的先进性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(2)具备良好的实用性。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(3)保证设备运行的稳定性和可靠性。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(4)保证设计的标准化。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(5)保证使用的安全性。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(6)保证设备的通用性。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(7)保证有良好的技术支持和售后服务。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(8)保证车辆改装设计及设备使用的协调性及合理性。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eastAsia="zh-CN"/>
        </w:rPr>
        <w:t>四</w:t>
      </w:r>
      <w:r>
        <w:rPr>
          <w:rFonts w:hint="eastAsia"/>
          <w:b/>
          <w:bCs/>
        </w:rPr>
        <w:t>、基本功能指标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(1)自然环境条件适应性、车辆应适合于使用地区的气候环境。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(2) 适用于城市环境、山区公路环境。要考虑到车辆的运输方式、补给、储存及警示性。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(3)标准化;应使用具有国家标准的零配件。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(4)可靠性;改装后应保证基础车型及所选装的机电设备原有的可靠性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(5)维修性:改装后应保证基础车型和所选装机电设备原有的维修性。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(6)安全性:改装后应保证基础车型和所选装机电设备原有的安全性。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eastAsia="zh-CN"/>
        </w:rPr>
        <w:t>五</w:t>
      </w:r>
      <w:r>
        <w:rPr>
          <w:rFonts w:hint="eastAsia"/>
          <w:b/>
          <w:bCs/>
        </w:rPr>
        <w:t>、设计技术要求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(1)运输机动性要求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①车辆的使用性能不改变基础车型的使用要求。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②纵向通过角符合基础车型的技术要求。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(2) 保障性要求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①具备使用说明书、设计说明书、维修手册等技术性文件。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②具备必要的备件，备件清单详细、准确，备件包装、存放合理。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③提供必要的维修工具。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④确定适合的防护、运输、储存方式及有关约束条件。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 车辆外观涂装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符合GA923-2011《公安特警专用车辆外观制式涂装规范》标准GA 524-2004《2004式警车汽车类外观制式涂装规范》标准。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w:t>
      </w:r>
      <w:r>
        <w:rPr>
          <w:rFonts w:hint="eastAsia"/>
          <w:lang w:val="en-US" w:eastAsia="zh-CN"/>
        </w:rPr>
        <w:t>4</w:t>
      </w:r>
      <w:r>
        <w:rPr>
          <w:rFonts w:hint="eastAsia"/>
        </w:rPr>
        <w:t>) 投标车型应严格执行GB7258-2017《机动车运行安全技术条件》及相关标准要求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eastAsia="zh-CN"/>
        </w:rPr>
      </w:pPr>
      <w:r>
        <w:rPr>
          <w:rFonts w:hint="eastAsia"/>
          <w:b/>
          <w:bCs/>
          <w:lang w:eastAsia="zh-CN"/>
        </w:rPr>
        <w:t>六、商务要求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（一）报价要求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 投标报价以人民币填列。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bCs/>
        </w:rPr>
      </w:pPr>
      <w:r>
        <w:rPr>
          <w:rFonts w:hint="eastAsia"/>
          <w:b/>
          <w:bCs/>
        </w:rPr>
        <w:t>2. 投标人的报价应包括：车辆及附件货款、运输费、运输保险费、装卸费、安装调试费、2004式制式警车喷涂（含上装警灯警报器）、车辆购置税、机动车号牌费用及其他应有的费用。不包含机动车保险费用。投标人所报价格为最终价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 验收及相关费用由投标人负责。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所投车辆</w:t>
      </w:r>
      <w:r>
        <w:rPr>
          <w:rFonts w:hint="eastAsia"/>
          <w:lang w:eastAsia="zh-CN"/>
        </w:rPr>
        <w:t>质保</w:t>
      </w:r>
      <w:r>
        <w:rPr>
          <w:rFonts w:hint="eastAsia"/>
        </w:rPr>
        <w:t>期限不低于3年或者行驶里程100,000公里，以先到者为准。</w:t>
      </w:r>
      <w:r>
        <w:rPr>
          <w:rFonts w:hint="eastAsia"/>
          <w:lang w:eastAsia="zh-CN"/>
        </w:rPr>
        <w:t>质保</w:t>
      </w:r>
      <w:r>
        <w:rPr>
          <w:rFonts w:hint="eastAsia"/>
        </w:rPr>
        <w:t>期自供应商开具购车发票之日起计算。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提供所投产品制造商服务机构情况，包括地址、联系方式及技术人员数量等。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（三）交货要求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1. 交货期：签订合同之日起</w:t>
      </w:r>
      <w:r>
        <w:rPr>
          <w:rFonts w:hint="eastAsia"/>
          <w:lang w:val="en-US" w:eastAsia="zh-CN"/>
        </w:rPr>
        <w:t>45</w:t>
      </w:r>
      <w:r>
        <w:rPr>
          <w:rFonts w:hint="eastAsia"/>
        </w:rPr>
        <w:t>日内。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2. 交货地点：采购人指定地点。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3. 提供制造商完整的随车资料、随车工具，包括完整的使用和维修手册等。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（四）付款方式</w:t>
      </w:r>
    </w:p>
    <w:p>
      <w:pPr>
        <w:numPr>
          <w:ilvl w:val="0"/>
          <w:numId w:val="0"/>
        </w:numPr>
        <w:spacing w:line="480" w:lineRule="exact"/>
        <w:ind w:firstLine="420" w:firstLineChars="200"/>
        <w:rPr>
          <w:rFonts w:hint="eastAsia"/>
          <w:lang w:val="en-US" w:eastAsia="zh-CN"/>
        </w:rPr>
      </w:pPr>
      <w:r>
        <w:rPr>
          <w:rFonts w:hint="eastAsia" w:ascii="宋体" w:hAnsi="宋体" w:eastAsia="宋体" w:cs="宋体"/>
          <w:sz w:val="21"/>
          <w:szCs w:val="21"/>
          <w:lang w:eastAsia="zh-CN"/>
        </w:rPr>
        <w:t>合同签订且乙方依照双方约定向甲方缴纳履约保证金后</w:t>
      </w:r>
      <w:r>
        <w:rPr>
          <w:rFonts w:hint="eastAsia" w:ascii="宋体" w:hAnsi="宋体" w:eastAsia="宋体" w:cs="宋体"/>
          <w:sz w:val="21"/>
          <w:szCs w:val="21"/>
        </w:rPr>
        <w:t>，</w:t>
      </w:r>
      <w:r>
        <w:rPr>
          <w:rFonts w:hint="eastAsia" w:ascii="宋体" w:hAnsi="宋体" w:eastAsia="宋体" w:cs="宋体"/>
          <w:sz w:val="21"/>
          <w:szCs w:val="21"/>
          <w:lang w:eastAsia="zh-CN"/>
        </w:rPr>
        <w:t>甲方</w:t>
      </w:r>
      <w:r>
        <w:rPr>
          <w:rFonts w:hint="eastAsia" w:ascii="宋体" w:hAnsi="宋体" w:eastAsia="宋体" w:cs="宋体"/>
          <w:sz w:val="21"/>
          <w:szCs w:val="21"/>
        </w:rPr>
        <w:t>向</w:t>
      </w:r>
      <w:r>
        <w:rPr>
          <w:rFonts w:hint="eastAsia" w:ascii="宋体" w:hAnsi="宋体" w:eastAsia="宋体" w:cs="宋体"/>
          <w:sz w:val="21"/>
          <w:szCs w:val="21"/>
          <w:lang w:eastAsia="zh-CN"/>
        </w:rPr>
        <w:t>乙方</w:t>
      </w:r>
      <w:r>
        <w:rPr>
          <w:rFonts w:hint="eastAsia" w:ascii="宋体" w:hAnsi="宋体" w:eastAsia="宋体" w:cs="宋体"/>
          <w:sz w:val="21"/>
          <w:szCs w:val="21"/>
        </w:rPr>
        <w:t>支付合同总额的100%。</w:t>
      </w:r>
    </w:p>
    <w:p>
      <w:pPr>
        <w:numPr>
          <w:ilvl w:val="0"/>
          <w:numId w:val="1"/>
        </w:numPr>
        <w:spacing w:line="480" w:lineRule="exact"/>
        <w:ind w:firstLine="420" w:firstLineChars="200"/>
        <w:rPr>
          <w:rFonts w:hint="eastAsia"/>
          <w:lang w:val="en-US" w:eastAsia="zh-CN"/>
        </w:rPr>
      </w:pPr>
      <w:r>
        <w:rPr>
          <w:rFonts w:hint="eastAsia"/>
          <w:lang w:eastAsia="zh-CN"/>
        </w:rPr>
        <w:t>履约保证金</w:t>
      </w:r>
      <w:r>
        <w:rPr>
          <w:rFonts w:hint="eastAsia"/>
          <w:lang w:val="en-US" w:eastAsia="zh-CN"/>
        </w:rPr>
        <w:t xml:space="preserve"> </w:t>
      </w:r>
    </w:p>
    <w:p>
      <w:pPr>
        <w:numPr>
          <w:ilvl w:val="0"/>
          <w:numId w:val="0"/>
        </w:numPr>
        <w:spacing w:line="480" w:lineRule="exact"/>
        <w:ind w:firstLine="420" w:firstLineChars="200"/>
        <w:rPr>
          <w:rFonts w:hint="eastAsia" w:eastAsia="宋体"/>
          <w:lang w:eastAsia="zh-CN"/>
        </w:rPr>
      </w:pPr>
      <w:r>
        <w:rPr>
          <w:rFonts w:hint="eastAsia" w:ascii="宋体" w:hAnsi="宋体" w:cs="宋体"/>
          <w:szCs w:val="21"/>
          <w:lang w:eastAsia="zh-CN"/>
        </w:rPr>
        <w:t>采购人收取</w:t>
      </w:r>
      <w:r>
        <w:rPr>
          <w:rFonts w:hint="eastAsia" w:ascii="宋体" w:hAnsi="宋体" w:cs="宋体"/>
          <w:szCs w:val="21"/>
        </w:rPr>
        <w:t>合同总价</w:t>
      </w:r>
      <w:r>
        <w:rPr>
          <w:rFonts w:ascii="宋体" w:hAnsi="宋体" w:cs="宋体"/>
          <w:szCs w:val="21"/>
        </w:rPr>
        <w:t>5%</w:t>
      </w:r>
      <w:r>
        <w:rPr>
          <w:rFonts w:hint="eastAsia" w:ascii="宋体" w:hAnsi="宋体" w:cs="宋体"/>
          <w:szCs w:val="21"/>
        </w:rPr>
        <w:t>的履约保证金，以</w:t>
      </w:r>
      <w:r>
        <w:rPr>
          <w:rFonts w:hint="eastAsia" w:ascii="宋体" w:hAnsi="宋体" w:cs="宋体"/>
          <w:szCs w:val="21"/>
          <w:lang w:eastAsia="zh-CN"/>
        </w:rPr>
        <w:t>采购人认可的</w:t>
      </w:r>
      <w:r>
        <w:rPr>
          <w:rFonts w:hint="eastAsia" w:ascii="宋体" w:hAnsi="宋体" w:cs="宋体"/>
          <w:szCs w:val="21"/>
        </w:rPr>
        <w:t>非现金形式缴纳。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rPr>
      </w:pPr>
      <w:r>
        <w:rPr>
          <w:rFonts w:hint="eastAsia"/>
        </w:rPr>
        <w:t>（</w:t>
      </w:r>
      <w:r>
        <w:rPr>
          <w:rFonts w:hint="eastAsia"/>
          <w:lang w:eastAsia="zh-CN"/>
        </w:rPr>
        <w:t>六</w:t>
      </w:r>
      <w:r>
        <w:rPr>
          <w:rFonts w:hint="eastAsia"/>
        </w:rPr>
        <w:t>）验收方法及标准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eastAsia="zh-CN"/>
        </w:rPr>
      </w:pPr>
      <w:r>
        <w:rPr>
          <w:rFonts w:hint="eastAsia"/>
        </w:rPr>
        <w:t>按照采购合同的约定和现行国家标准、行业标准以及企业标准对每一项技术、服务、安全标准的履约情况进行确认。投标产品应为符合国家产品质量标准及厂家该型号汽车质量标准的新下线的未曾经过维修的崭新车辆，符合国家安全及环保要求，可以在北京地区上牌的合法车辆。采购人有权根据需要设置出厂检验、到货检验、安装调试检验、配套服务检验等多重验收环节。必要时，采购人有权邀请参加本项目的第三方机构参与验收。验收结束后，应当出具验收书，列明各项标准的验收情况及项目总体评价，由验收双方共同签署。</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82"/>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AEB88"/>
    <w:multiLevelType w:val="singleLevel"/>
    <w:tmpl w:val="748AEB8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E40"/>
    <w:rsid w:val="007F780F"/>
    <w:rsid w:val="078F52C2"/>
    <w:rsid w:val="09FE11EA"/>
    <w:rsid w:val="0A881146"/>
    <w:rsid w:val="0B762E21"/>
    <w:rsid w:val="0C633EA4"/>
    <w:rsid w:val="0D420D8C"/>
    <w:rsid w:val="0DC86415"/>
    <w:rsid w:val="0F440BA6"/>
    <w:rsid w:val="159E22AC"/>
    <w:rsid w:val="24105BD8"/>
    <w:rsid w:val="283C361A"/>
    <w:rsid w:val="2FB333F9"/>
    <w:rsid w:val="3F197DE3"/>
    <w:rsid w:val="48957453"/>
    <w:rsid w:val="505D5EA7"/>
    <w:rsid w:val="5250285D"/>
    <w:rsid w:val="57247C3C"/>
    <w:rsid w:val="5AB31132"/>
    <w:rsid w:val="5D744C20"/>
    <w:rsid w:val="654715F7"/>
    <w:rsid w:val="68924B80"/>
    <w:rsid w:val="6BDC5B11"/>
    <w:rsid w:val="6CE84E27"/>
    <w:rsid w:val="71702778"/>
    <w:rsid w:val="72DE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Body Text Indent"/>
    <w:basedOn w:val="1"/>
    <w:next w:val="5"/>
    <w:unhideWhenUsed/>
    <w:qFormat/>
    <w:uiPriority w:val="99"/>
    <w:pPr>
      <w:spacing w:after="120"/>
      <w:ind w:left="420" w:leftChars="200"/>
    </w:pPr>
    <w:rPr>
      <w:rFonts w:ascii="Calibri" w:hAnsi="Calibri"/>
      <w:kern w:val="0"/>
      <w:sz w:val="20"/>
      <w:szCs w:val="20"/>
    </w:rPr>
  </w:style>
  <w:style w:type="paragraph" w:styleId="5">
    <w:name w:val="envelope return"/>
    <w:basedOn w:val="1"/>
    <w:unhideWhenUsed/>
    <w:qFormat/>
    <w:uiPriority w:val="99"/>
    <w:pPr>
      <w:snapToGrid w:val="0"/>
    </w:pPr>
    <w:rPr>
      <w:rFonts w:ascii="Arial" w:hAnsi="Arial" w:cs="Arial"/>
    </w:rPr>
  </w:style>
  <w:style w:type="paragraph" w:styleId="6">
    <w:name w:val="Body Text First Indent"/>
    <w:basedOn w:val="3"/>
    <w:qFormat/>
    <w:uiPriority w:val="0"/>
    <w:pPr>
      <w:ind w:firstLine="420" w:firstLineChars="100"/>
    </w:pPr>
    <w:rPr>
      <w:lang w:val="en-US" w:eastAsia="zh-CN"/>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2024-09-24T03:08:00Z</dcterms:created>
  <dc:creator>Administrator</dc:creator>
  <cp:lastModifiedBy>Administrator</cp:lastModifiedBy>
  <cp:lastPrinted>2024-10-24T01:54:00Z</cp:lastPrinted>
  <dcterms:modified xsi:type="dcterms:W3CDTF">2024-12-17T06:18:51Z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