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900"/>
        </w:tabs>
        <w:spacing w:after="2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采购需求</w:t>
      </w:r>
    </w:p>
    <w:p>
      <w:pPr>
        <w:tabs>
          <w:tab w:val="left" w:pos="900"/>
        </w:tabs>
        <w:spacing w:after="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after="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after="2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供应商应根据招标文件所提出的采购需求和服务要求，综合考虑所投货物的适用性，选择需要最佳性能价格比的货物前来投标。供应商应以先进的技术、优良的服务和优惠的价格，充分显示自己的竞争实力。</w:t>
      </w:r>
    </w:p>
    <w:p>
      <w:pPr>
        <w:tabs>
          <w:tab w:val="left" w:pos="900"/>
        </w:tabs>
        <w:spacing w:after="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1"/>
        </w:numPr>
        <w:tabs>
          <w:tab w:val="left" w:pos="420"/>
          <w:tab w:val="left" w:pos="900"/>
        </w:tabs>
        <w:spacing w:after="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促进中小企业发展政策：根据《政府采购促进中小企业发展管理办法》的通知（财库〔2020〕46号）规定，本项目供应商所投产品为中小企业制造的，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1"/>
        </w:numPr>
        <w:tabs>
          <w:tab w:val="left" w:pos="420"/>
          <w:tab w:val="left" w:pos="900"/>
        </w:tabs>
        <w:spacing w:after="2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1"/>
        </w:numPr>
        <w:tabs>
          <w:tab w:val="left" w:pos="420"/>
          <w:tab w:val="left" w:pos="900"/>
        </w:tabs>
        <w:spacing w:after="2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420"/>
          <w:tab w:val="left" w:pos="900"/>
        </w:tabs>
        <w:spacing w:after="20" w:line="360" w:lineRule="auto"/>
        <w:rPr>
          <w:rFonts w:asciiTheme="minorEastAsia" w:hAnsiTheme="minorEastAsia" w:cstheme="minorEastAsia"/>
          <w:sz w:val="24"/>
          <w:szCs w:val="24"/>
        </w:rPr>
      </w:pPr>
      <w:r>
        <w:rPr>
          <w:rFonts w:asciiTheme="minorEastAsia" w:hAnsiTheme="minorEastAsia" w:cstheme="minorEastAsia"/>
          <w:sz w:val="24"/>
          <w:szCs w:val="24"/>
        </w:rPr>
        <w:t>鼓励节能</w:t>
      </w:r>
      <w:r>
        <w:rPr>
          <w:rFonts w:hint="eastAsia" w:asciiTheme="minorEastAsia" w:hAnsiTheme="minorEastAsia" w:cstheme="minorEastAsia"/>
          <w:sz w:val="24"/>
          <w:szCs w:val="24"/>
        </w:rPr>
        <w:t>、环保</w:t>
      </w:r>
      <w:r>
        <w:rPr>
          <w:rFonts w:asciiTheme="minorEastAsia" w:hAnsiTheme="minorEastAsia" w:cstheme="minorEastAsia"/>
          <w:sz w:val="24"/>
          <w:szCs w:val="24"/>
        </w:rPr>
        <w:t>政策：</w:t>
      </w:r>
      <w:r>
        <w:rPr>
          <w:rFonts w:hint="eastAsia" w:asciiTheme="minorEastAsia" w:hAnsiTheme="minorEastAsia" w:cstheme="minorEastAsia"/>
          <w:sz w:val="24"/>
          <w:szCs w:val="24"/>
        </w:rPr>
        <w:t>依据《财政部发展改革委生态环境部市场监管总局关于调整优化节能产品、环境标志产品政府采购执行机制的通知（财库（2019）9号）》执行</w:t>
      </w:r>
      <w:r>
        <w:rPr>
          <w:rFonts w:asciiTheme="minorEastAsia" w:hAnsiTheme="minorEastAsia" w:cstheme="minorEastAsia"/>
          <w:sz w:val="24"/>
          <w:szCs w:val="24"/>
        </w:rPr>
        <w:t>。</w:t>
      </w: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二、采购标的需执行的国家相关标准、行业标准、地方标准或者其他标准、规范：</w:t>
      </w:r>
    </w:p>
    <w:p>
      <w:pPr>
        <w:spacing w:before="120" w:line="360" w:lineRule="auto"/>
        <w:ind w:left="420" w:hanging="420" w:hangingChars="175"/>
        <w:rPr>
          <w:rFonts w:asciiTheme="minorEastAsia" w:hAnsiTheme="minorEastAsia" w:cstheme="minorEastAsia"/>
          <w:sz w:val="24"/>
          <w:szCs w:val="24"/>
        </w:rPr>
      </w:pPr>
      <w:r>
        <w:rPr>
          <w:rFonts w:hint="eastAsia" w:asciiTheme="minorEastAsia" w:hAnsiTheme="minorEastAsia" w:cstheme="minorEastAsia"/>
          <w:bCs/>
          <w:sz w:val="24"/>
          <w:szCs w:val="24"/>
        </w:rPr>
        <w:t>1.  投标产品及制造商应符合国家有关部门规定的相应技术、计量、节能、安全和环保法规及标准，如国家有关部门对投标产品或其制造商有强制性规定或要求的，投标产品或其制造商必须符合相应规定或要求，供应商须提供相关证明文件的复印件。</w:t>
      </w:r>
    </w:p>
    <w:p>
      <w:pPr>
        <w:spacing w:after="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三、采购标的的数量、采购项目交付或者实施的时间和地点：</w:t>
      </w:r>
    </w:p>
    <w:p>
      <w:pPr>
        <w:spacing w:after="20" w:line="360" w:lineRule="auto"/>
        <w:rPr>
          <w:rFonts w:ascii="宋体" w:hAnsi="宋体" w:eastAsia="宋体" w:cs="宋体"/>
          <w:sz w:val="24"/>
          <w:szCs w:val="24"/>
        </w:rPr>
      </w:pPr>
      <w:r>
        <w:rPr>
          <w:rFonts w:hint="eastAsia" w:ascii="宋体" w:hAnsi="宋体" w:eastAsia="宋体" w:cs="宋体"/>
          <w:sz w:val="24"/>
          <w:szCs w:val="24"/>
        </w:rPr>
        <w:t>（一）采购标的的数量</w:t>
      </w:r>
    </w:p>
    <w:tbl>
      <w:tblPr>
        <w:tblStyle w:val="7"/>
        <w:tblW w:w="7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19"/>
        <w:gridCol w:w="1057"/>
        <w:gridCol w:w="3521"/>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36" w:type="dxa"/>
            <w:shd w:val="clear" w:color="auto" w:fill="auto"/>
            <w:vAlign w:val="center"/>
          </w:tcPr>
          <w:p>
            <w:pPr>
              <w:widowControl/>
              <w:spacing w:after="0"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包号</w:t>
            </w:r>
          </w:p>
        </w:tc>
        <w:tc>
          <w:tcPr>
            <w:tcW w:w="1219" w:type="dxa"/>
            <w:shd w:val="clear" w:color="000000" w:fill="FFFFFF"/>
            <w:vAlign w:val="center"/>
          </w:tcPr>
          <w:p>
            <w:pPr>
              <w:widowControl/>
              <w:spacing w:after="0"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名称</w:t>
            </w:r>
          </w:p>
        </w:tc>
        <w:tc>
          <w:tcPr>
            <w:tcW w:w="1057" w:type="dxa"/>
            <w:shd w:val="clear" w:color="000000" w:fill="FFFFFF"/>
            <w:vAlign w:val="center"/>
          </w:tcPr>
          <w:p>
            <w:pPr>
              <w:widowControl/>
              <w:spacing w:after="0"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品目号</w:t>
            </w:r>
          </w:p>
        </w:tc>
        <w:tc>
          <w:tcPr>
            <w:tcW w:w="3521" w:type="dxa"/>
            <w:shd w:val="clear" w:color="000000" w:fill="FFFFFF"/>
            <w:vAlign w:val="center"/>
          </w:tcPr>
          <w:p>
            <w:pPr>
              <w:widowControl/>
              <w:spacing w:after="0"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名称</w:t>
            </w:r>
          </w:p>
        </w:tc>
        <w:tc>
          <w:tcPr>
            <w:tcW w:w="1399" w:type="dxa"/>
            <w:shd w:val="clear" w:color="000000" w:fill="FFFFFF"/>
            <w:vAlign w:val="center"/>
          </w:tcPr>
          <w:p>
            <w:pPr>
              <w:widowControl/>
              <w:spacing w:after="0"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19" w:type="dxa"/>
            <w:vMerge w:val="restart"/>
            <w:shd w:val="clear" w:color="000000" w:fill="FFFFFF"/>
            <w:vAlign w:val="center"/>
          </w:tcPr>
          <w:p>
            <w:pPr>
              <w:pStyle w:val="9"/>
              <w:spacing w:after="0" w:line="240" w:lineRule="auto"/>
              <w:jc w:val="center"/>
              <w:rPr>
                <w:rFonts w:ascii="宋体" w:hAnsi="宋体" w:cs="宋体"/>
                <w:sz w:val="24"/>
                <w:szCs w:val="24"/>
              </w:rPr>
            </w:pPr>
            <w:bookmarkStart w:id="9" w:name="_GoBack"/>
            <w:r>
              <w:rPr>
                <w:rFonts w:hint="eastAsia" w:ascii="宋体" w:hAnsi="宋体" w:cs="宋体"/>
                <w:sz w:val="24"/>
                <w:szCs w:val="24"/>
              </w:rPr>
              <w:t>南区一期移动护理建设</w:t>
            </w:r>
            <w:bookmarkEnd w:id="9"/>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1-1</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sz w:val="24"/>
                <w:szCs w:val="24"/>
              </w:rPr>
              <w:t>护理智能管理信息系统</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1-2</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sz w:val="24"/>
                <w:szCs w:val="24"/>
              </w:rPr>
              <w:t>移动手持终端PDA</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1-3</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sz w:val="24"/>
                <w:szCs w:val="24"/>
              </w:rPr>
              <w:t>护理移动推车</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46台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1-4</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sz w:val="24"/>
                <w:szCs w:val="24"/>
              </w:rPr>
              <w:t>护理平板终端</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30台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1-5</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sz w:val="24"/>
                <w:szCs w:val="24"/>
              </w:rPr>
              <w:t>智慧病房呼叫管理平台</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1-6</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病床分机（含呼叫器）</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570台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1-7</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病房门口机（含紧急呼叫按钮）</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182台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1-8</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护士站主机</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1-9</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走廊显示屏</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32台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1-10</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多媒体信息发布大屏</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1-11</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电子床尾卡</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570台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1-12</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物联网AP基站</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90台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widowControl/>
              <w:spacing w:after="0" w:line="240" w:lineRule="auto"/>
              <w:jc w:val="center"/>
              <w:rPr>
                <w:rFonts w:ascii="宋体" w:hAnsi="宋体" w:eastAsia="宋体" w:cs="宋体"/>
                <w:kern w:val="0"/>
                <w:sz w:val="24"/>
                <w:szCs w:val="24"/>
              </w:rPr>
            </w:pPr>
          </w:p>
        </w:tc>
        <w:tc>
          <w:tcPr>
            <w:tcW w:w="1219" w:type="dxa"/>
            <w:vMerge w:val="continue"/>
            <w:shd w:val="clear" w:color="000000" w:fill="FFFFFF"/>
            <w:vAlign w:val="center"/>
          </w:tcPr>
          <w:p>
            <w:pPr>
              <w:pStyle w:val="9"/>
              <w:spacing w:after="0" w:line="240" w:lineRule="auto"/>
              <w:jc w:val="center"/>
              <w:rPr>
                <w:rFonts w:ascii="宋体" w:hAnsi="宋体" w:cs="宋体"/>
                <w:sz w:val="24"/>
                <w:szCs w:val="24"/>
              </w:rPr>
            </w:pPr>
          </w:p>
        </w:tc>
        <w:tc>
          <w:tcPr>
            <w:tcW w:w="1057"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1-13</w:t>
            </w:r>
          </w:p>
        </w:tc>
        <w:tc>
          <w:tcPr>
            <w:tcW w:w="3521"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交换机</w:t>
            </w:r>
          </w:p>
        </w:tc>
        <w:tc>
          <w:tcPr>
            <w:tcW w:w="1399" w:type="dxa"/>
            <w:shd w:val="clear" w:color="000000" w:fill="FFFFFF"/>
            <w:vAlign w:val="center"/>
          </w:tcPr>
          <w:p>
            <w:pPr>
              <w:pStyle w:val="9"/>
              <w:spacing w:after="0" w:line="240" w:lineRule="auto"/>
              <w:jc w:val="center"/>
              <w:rPr>
                <w:rFonts w:ascii="宋体" w:hAnsi="宋体" w:cs="宋体"/>
                <w:kern w:val="0"/>
                <w:sz w:val="24"/>
                <w:szCs w:val="24"/>
              </w:rPr>
            </w:pPr>
            <w:r>
              <w:rPr>
                <w:rFonts w:hint="eastAsia" w:ascii="宋体" w:hAnsi="宋体" w:cs="宋体"/>
                <w:kern w:val="0"/>
                <w:sz w:val="24"/>
                <w:szCs w:val="24"/>
              </w:rPr>
              <w:t>22台</w:t>
            </w:r>
          </w:p>
        </w:tc>
      </w:tr>
    </w:tbl>
    <w:p>
      <w:pPr>
        <w:spacing w:beforeLines="50" w:afterLines="20" w:line="360" w:lineRule="auto"/>
        <w:rPr>
          <w:rFonts w:ascii="宋体" w:hAnsi="宋体" w:eastAsia="宋体" w:cs="宋体"/>
          <w:sz w:val="24"/>
          <w:szCs w:val="24"/>
        </w:rPr>
      </w:pPr>
      <w:r>
        <w:rPr>
          <w:rFonts w:hint="eastAsia" w:ascii="宋体" w:hAnsi="宋体" w:eastAsia="宋体" w:cs="宋体"/>
          <w:sz w:val="24"/>
          <w:szCs w:val="24"/>
        </w:rPr>
        <w:t>（二）采购项目交付或者实施的时间和地点</w:t>
      </w:r>
    </w:p>
    <w:p>
      <w:pPr>
        <w:spacing w:afterLines="20" w:line="360" w:lineRule="auto"/>
        <w:ind w:left="420" w:hanging="420" w:hangingChars="175"/>
        <w:rPr>
          <w:rFonts w:ascii="宋体" w:hAnsi="宋体" w:eastAsia="宋体" w:cs="宋体"/>
          <w:sz w:val="24"/>
          <w:szCs w:val="24"/>
        </w:rPr>
      </w:pPr>
      <w:r>
        <w:rPr>
          <w:rFonts w:hint="eastAsia" w:ascii="宋体" w:hAnsi="宋体" w:eastAsia="宋体" w:cs="宋体"/>
          <w:sz w:val="24"/>
          <w:szCs w:val="24"/>
        </w:rPr>
        <w:t>1. 采购项目（标的）交付的时间：合同签订后60个日历日内完成系统上线，达到初验标准。</w:t>
      </w:r>
    </w:p>
    <w:p>
      <w:pPr>
        <w:spacing w:afterLines="20" w:line="360" w:lineRule="auto"/>
        <w:rPr>
          <w:rFonts w:ascii="宋体" w:hAnsi="宋体" w:eastAsia="宋体" w:cs="宋体"/>
          <w:sz w:val="24"/>
          <w:szCs w:val="24"/>
        </w:rPr>
      </w:pPr>
      <w:r>
        <w:rPr>
          <w:rFonts w:hint="eastAsia" w:ascii="宋体" w:hAnsi="宋体" w:eastAsia="宋体" w:cs="宋体"/>
          <w:sz w:val="24"/>
          <w:szCs w:val="24"/>
        </w:rPr>
        <w:t>2. 采购项目（标的）交付的地点：采购人指定地点</w:t>
      </w:r>
    </w:p>
    <w:p>
      <w:pPr>
        <w:tabs>
          <w:tab w:val="left" w:pos="900"/>
        </w:tabs>
        <w:spacing w:after="0" w:line="360" w:lineRule="auto"/>
        <w:rPr>
          <w:rFonts w:ascii="宋体" w:hAnsi="宋体" w:eastAsia="宋体" w:cs="宋体"/>
          <w:sz w:val="24"/>
          <w:szCs w:val="24"/>
        </w:rPr>
      </w:pPr>
      <w:r>
        <w:rPr>
          <w:rFonts w:hint="eastAsia" w:ascii="宋体" w:hAnsi="宋体" w:eastAsia="宋体" w:cs="宋体"/>
          <w:b/>
          <w:sz w:val="24"/>
          <w:szCs w:val="24"/>
        </w:rPr>
        <w:t>四、采购标的需满足的服务标准、期限、效率等要求</w:t>
      </w:r>
    </w:p>
    <w:p>
      <w:pPr>
        <w:tabs>
          <w:tab w:val="left" w:pos="900"/>
        </w:tabs>
        <w:spacing w:afterLines="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（一）采购标的需满足的服务期限要求</w:t>
      </w:r>
    </w:p>
    <w:p>
      <w:pPr>
        <w:spacing w:afterLines="20" w:line="360" w:lineRule="auto"/>
        <w:rPr>
          <w:rFonts w:ascii="宋体" w:hAnsi="宋体" w:eastAsia="宋体" w:cs="宋体"/>
          <w:sz w:val="24"/>
          <w:szCs w:val="24"/>
        </w:rPr>
      </w:pPr>
      <w:r>
        <w:rPr>
          <w:rFonts w:hint="eastAsia" w:ascii="宋体" w:hAnsi="宋体" w:eastAsia="宋体" w:cs="宋体"/>
          <w:sz w:val="24"/>
          <w:szCs w:val="24"/>
        </w:rPr>
        <w:t>（1）采购标的需满足的服务标准、效率要求</w:t>
      </w:r>
    </w:p>
    <w:p>
      <w:pPr>
        <w:spacing w:afterLines="20" w:line="360" w:lineRule="auto"/>
        <w:ind w:firstLine="420"/>
        <w:rPr>
          <w:rFonts w:ascii="宋体" w:hAnsi="宋体" w:eastAsia="宋体" w:cs="宋体"/>
          <w:sz w:val="24"/>
          <w:szCs w:val="24"/>
        </w:rPr>
      </w:pPr>
      <w:r>
        <w:rPr>
          <w:rFonts w:hint="eastAsia" w:ascii="宋体" w:hAnsi="宋体" w:eastAsia="宋体" w:cs="宋体"/>
          <w:sz w:val="24"/>
          <w:szCs w:val="24"/>
        </w:rPr>
        <w:t>当系统发生故障时，及时响应并进行故障处理。投标人应提供7×24小时实时响应服务，实时解决常见问题。</w:t>
      </w:r>
    </w:p>
    <w:p>
      <w:pPr>
        <w:spacing w:afterLines="20" w:line="360" w:lineRule="auto"/>
        <w:rPr>
          <w:rFonts w:ascii="宋体" w:hAnsi="宋体" w:eastAsia="宋体" w:cs="宋体"/>
          <w:sz w:val="24"/>
          <w:szCs w:val="24"/>
        </w:rPr>
      </w:pPr>
      <w:r>
        <w:rPr>
          <w:rFonts w:hint="eastAsia" w:ascii="宋体" w:hAnsi="宋体" w:eastAsia="宋体" w:cs="宋体"/>
          <w:sz w:val="24"/>
          <w:szCs w:val="24"/>
        </w:rPr>
        <w:t xml:space="preserve">（2）采购标的需满足的服务期限要求 </w:t>
      </w:r>
    </w:p>
    <w:p>
      <w:pPr>
        <w:spacing w:afterLines="20" w:line="360" w:lineRule="auto"/>
        <w:ind w:firstLine="420"/>
        <w:rPr>
          <w:rFonts w:ascii="宋体" w:hAnsi="宋体" w:eastAsia="宋体" w:cs="宋体"/>
          <w:sz w:val="24"/>
          <w:szCs w:val="24"/>
        </w:rPr>
      </w:pPr>
      <w:r>
        <w:rPr>
          <w:rFonts w:hint="eastAsia" w:ascii="宋体" w:hAnsi="宋体" w:eastAsia="宋体" w:cs="宋体"/>
          <w:sz w:val="24"/>
          <w:szCs w:val="24"/>
        </w:rPr>
        <w:t>售后服务期限：自验收合格之日起软硬件质保三年，软件提供免费升级服务。质保期后软件部分年度维保费率不超过合同金额的7%。</w:t>
      </w:r>
    </w:p>
    <w:p>
      <w:pPr>
        <w:tabs>
          <w:tab w:val="left" w:pos="900"/>
        </w:tabs>
        <w:spacing w:afterLines="20" w:line="360" w:lineRule="auto"/>
        <w:rPr>
          <w:rFonts w:ascii="宋体" w:hAnsi="宋体" w:eastAsia="宋体" w:cs="宋体"/>
          <w:b/>
          <w:sz w:val="24"/>
          <w:szCs w:val="24"/>
        </w:rPr>
      </w:pPr>
      <w:r>
        <w:rPr>
          <w:rFonts w:hint="eastAsia" w:ascii="宋体" w:hAnsi="宋体" w:eastAsia="宋体" w:cs="宋体"/>
          <w:b/>
          <w:sz w:val="24"/>
          <w:szCs w:val="24"/>
        </w:rPr>
        <w:t>五、采购标的的验收标准</w:t>
      </w:r>
    </w:p>
    <w:p>
      <w:pPr>
        <w:tabs>
          <w:tab w:val="left" w:pos="900"/>
        </w:tabs>
        <w:spacing w:afterLines="20" w:line="360" w:lineRule="auto"/>
        <w:ind w:left="360" w:hanging="360" w:hangingChars="150"/>
        <w:rPr>
          <w:rFonts w:ascii="宋体" w:hAnsi="宋体" w:eastAsia="宋体" w:cs="宋体"/>
          <w:sz w:val="24"/>
          <w:szCs w:val="24"/>
        </w:rPr>
      </w:pPr>
      <w:r>
        <w:rPr>
          <w:rFonts w:hint="eastAsia" w:ascii="宋体" w:hAnsi="宋体" w:eastAsia="宋体" w:cs="宋体"/>
          <w:sz w:val="24"/>
          <w:szCs w:val="24"/>
        </w:rPr>
        <w:t>1. 供应商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tabs>
          <w:tab w:val="left" w:pos="900"/>
        </w:tabs>
        <w:spacing w:afterLines="20" w:line="360" w:lineRule="auto"/>
        <w:ind w:left="360" w:hanging="360" w:hangingChars="150"/>
        <w:rPr>
          <w:rFonts w:ascii="宋体" w:hAnsi="宋体" w:eastAsia="宋体" w:cs="宋体"/>
          <w:sz w:val="24"/>
          <w:szCs w:val="24"/>
        </w:rPr>
      </w:pPr>
      <w:r>
        <w:rPr>
          <w:rFonts w:hint="eastAsia" w:ascii="宋体" w:hAnsi="宋体" w:eastAsia="宋体" w:cs="宋体"/>
          <w:sz w:val="24"/>
          <w:szCs w:val="24"/>
        </w:rPr>
        <w:t>2. 货物运抵采购项目（标的）交付的地点后，供货方和最终用户按投标技术参数和性能描述进行验收。</w:t>
      </w:r>
    </w:p>
    <w:p>
      <w:pPr>
        <w:tabs>
          <w:tab w:val="left" w:pos="900"/>
        </w:tabs>
        <w:spacing w:afterLines="20" w:line="360" w:lineRule="auto"/>
        <w:ind w:left="360" w:hanging="360" w:hangingChars="150"/>
        <w:rPr>
          <w:rFonts w:ascii="宋体" w:hAnsi="宋体" w:eastAsia="宋体" w:cs="宋体"/>
          <w:sz w:val="24"/>
          <w:szCs w:val="24"/>
        </w:rPr>
      </w:pPr>
      <w:r>
        <w:rPr>
          <w:rFonts w:hint="eastAsia" w:ascii="宋体" w:hAnsi="宋体" w:eastAsia="宋体" w:cs="宋体"/>
          <w:sz w:val="24"/>
          <w:szCs w:val="24"/>
        </w:rPr>
        <w:t>3. 供应商应负责使所供计量仪器通过计量部门的验收，并承担相关费用（包括运费）。若需要，应在检测期间提供备用仪器，以便不影响采购人的使用。</w:t>
      </w:r>
    </w:p>
    <w:p>
      <w:pPr>
        <w:spacing w:afterLines="20" w:line="360" w:lineRule="auto"/>
        <w:ind w:left="218" w:hanging="218" w:hangingChars="91"/>
        <w:rPr>
          <w:rFonts w:ascii="宋体" w:hAnsi="宋体" w:eastAsia="宋体" w:cs="宋体"/>
          <w:sz w:val="24"/>
          <w:szCs w:val="24"/>
        </w:rPr>
      </w:pPr>
      <w:r>
        <w:rPr>
          <w:rFonts w:hint="eastAsia" w:ascii="宋体" w:hAnsi="宋体" w:eastAsia="宋体" w:cs="宋体"/>
          <w:sz w:val="24"/>
          <w:szCs w:val="24"/>
        </w:rPr>
        <w:t>4、中标供应商在合同规定的时间内完成本项目所有工作。包括系统的设计、开发与部署工作，并提供相关的实施文档。经中标供应商自测试通过后，由中标供应商提交项目验收申请，采购人在接到书面验收申请后，组织对本项目进行验收，验收合格签署验收文件。采购人及中标供应商双方确认签字后，即为项目验收完成。验收不合格的，中标供应商需根据意见进行整改至达到验收要求。</w:t>
      </w:r>
    </w:p>
    <w:p>
      <w:pPr>
        <w:tabs>
          <w:tab w:val="left" w:pos="900"/>
        </w:tabs>
        <w:spacing w:afterLines="20" w:line="360" w:lineRule="auto"/>
        <w:rPr>
          <w:rFonts w:ascii="宋体" w:hAnsi="宋体" w:eastAsia="宋体" w:cs="宋体"/>
          <w:b/>
          <w:sz w:val="24"/>
          <w:szCs w:val="24"/>
        </w:rPr>
      </w:pPr>
      <w:r>
        <w:rPr>
          <w:rFonts w:hint="eastAsia" w:ascii="宋体" w:hAnsi="宋体" w:eastAsia="宋体" w:cs="宋体"/>
          <w:b/>
          <w:sz w:val="24"/>
          <w:szCs w:val="24"/>
        </w:rPr>
        <w:t>六、采购标的的其他技术、服务等要求</w:t>
      </w:r>
    </w:p>
    <w:p>
      <w:pPr>
        <w:numPr>
          <w:ilvl w:val="0"/>
          <w:numId w:val="2"/>
        </w:numPr>
        <w:tabs>
          <w:tab w:val="left" w:pos="420"/>
          <w:tab w:val="left" w:pos="900"/>
        </w:tabs>
        <w:spacing w:afterLines="20" w:line="360" w:lineRule="auto"/>
        <w:rPr>
          <w:rFonts w:ascii="宋体" w:hAnsi="宋体" w:eastAsia="宋体" w:cs="宋体"/>
          <w:b/>
          <w:sz w:val="24"/>
          <w:szCs w:val="24"/>
        </w:rPr>
      </w:pPr>
      <w:r>
        <w:rPr>
          <w:rFonts w:hint="eastAsia" w:ascii="宋体" w:hAnsi="宋体" w:eastAsia="宋体" w:cs="宋体"/>
          <w:b/>
          <w:sz w:val="24"/>
          <w:szCs w:val="24"/>
        </w:rPr>
        <w:t>对于技术规格中标注“</w:t>
      </w:r>
      <w:r>
        <w:rPr>
          <w:rFonts w:hint="eastAsia" w:ascii="宋体" w:hAnsi="宋体" w:eastAsia="宋体" w:cs="宋体"/>
          <w:color w:val="333333"/>
          <w:sz w:val="24"/>
          <w:szCs w:val="24"/>
          <w:shd w:val="clear" w:color="auto" w:fill="FFFFFF"/>
        </w:rPr>
        <w:t>*</w:t>
      </w:r>
      <w:r>
        <w:rPr>
          <w:rFonts w:hint="eastAsia" w:ascii="宋体" w:hAnsi="宋体" w:eastAsia="宋体" w:cs="宋体"/>
          <w:b/>
          <w:sz w:val="24"/>
          <w:szCs w:val="24"/>
        </w:rPr>
        <w:t>”号或“</w:t>
      </w:r>
      <w:r>
        <w:rPr>
          <w:rFonts w:hint="eastAsia" w:ascii="宋体" w:hAnsi="宋体" w:eastAsia="宋体" w:cs="宋体"/>
          <w:sz w:val="24"/>
          <w:szCs w:val="24"/>
        </w:rPr>
        <w:t>▲</w:t>
      </w:r>
      <w:r>
        <w:rPr>
          <w:rFonts w:hint="eastAsia" w:ascii="宋体" w:hAnsi="宋体" w:eastAsia="宋体" w:cs="宋体"/>
          <w:b/>
          <w:sz w:val="24"/>
          <w:szCs w:val="24"/>
        </w:rPr>
        <w:t>”号的技术参数，供应商须在投标文件中按照招标文件技术规格的要求提供技术应答的证明材料。对于供应商提供的投标文件技术应答未按本条款要求提供投标产品技术支持资料（或证明材料）的，或提供的投标产品技术支持资料（或证明材料）未按本条款要求加盖供应商或制造商公章的，评标委员会可不予承认，并可认为该技术应答不符合招标文件要求。由此产生的评标风险，由供应商承担。</w:t>
      </w:r>
    </w:p>
    <w:p>
      <w:pPr>
        <w:numPr>
          <w:ilvl w:val="0"/>
          <w:numId w:val="2"/>
        </w:numPr>
        <w:tabs>
          <w:tab w:val="left" w:pos="420"/>
          <w:tab w:val="left" w:pos="900"/>
        </w:tabs>
        <w:spacing w:afterLines="20" w:line="360" w:lineRule="auto"/>
        <w:rPr>
          <w:rFonts w:ascii="宋体" w:hAnsi="宋体" w:eastAsia="宋体" w:cs="宋体"/>
          <w:sz w:val="24"/>
          <w:szCs w:val="24"/>
        </w:rPr>
      </w:pPr>
      <w:r>
        <w:rPr>
          <w:rFonts w:hint="eastAsia" w:ascii="宋体" w:hAnsi="宋体" w:eastAsia="宋体" w:cs="宋体"/>
          <w:sz w:val="24"/>
          <w:szCs w:val="24"/>
        </w:rPr>
        <w:t>供应商所提供的部件之间及设备之间的连线或接插件均视为设备内部部件，应包含在相应的配置中。</w:t>
      </w:r>
    </w:p>
    <w:p>
      <w:pPr>
        <w:numPr>
          <w:ilvl w:val="0"/>
          <w:numId w:val="2"/>
        </w:numPr>
        <w:tabs>
          <w:tab w:val="left" w:pos="420"/>
          <w:tab w:val="left" w:pos="900"/>
        </w:tabs>
        <w:spacing w:afterLines="20" w:line="360" w:lineRule="auto"/>
        <w:rPr>
          <w:rFonts w:ascii="宋体" w:hAnsi="宋体" w:eastAsia="宋体" w:cs="宋体"/>
          <w:sz w:val="24"/>
          <w:szCs w:val="24"/>
        </w:rPr>
      </w:pPr>
      <w:r>
        <w:rPr>
          <w:rFonts w:hint="eastAsia" w:ascii="宋体" w:hAnsi="宋体" w:eastAsia="宋体" w:cs="宋体"/>
          <w:sz w:val="24"/>
          <w:szCs w:val="24"/>
        </w:rPr>
        <w:t>供应商在准备投标文件时，须按招标文件提出的格式要求，标明招标编号、包编号、货物名称、产品型号和具体指标。</w:t>
      </w:r>
    </w:p>
    <w:p>
      <w:pPr>
        <w:numPr>
          <w:ilvl w:val="0"/>
          <w:numId w:val="2"/>
        </w:numPr>
        <w:tabs>
          <w:tab w:val="left" w:pos="420"/>
          <w:tab w:val="left" w:pos="900"/>
        </w:tabs>
        <w:spacing w:afterLines="20" w:line="360" w:lineRule="auto"/>
        <w:rPr>
          <w:rFonts w:ascii="宋体" w:hAnsi="宋体" w:eastAsia="宋体" w:cs="宋体"/>
          <w:sz w:val="24"/>
          <w:szCs w:val="24"/>
        </w:rPr>
      </w:pPr>
      <w:r>
        <w:rPr>
          <w:rFonts w:hint="eastAsia" w:ascii="宋体" w:hAnsi="宋体" w:eastAsia="宋体" w:cs="宋体"/>
          <w:sz w:val="24"/>
          <w:szCs w:val="24"/>
        </w:rPr>
        <w:t>投标所用的产品样本应包括产品的主要性能、技术参数、适用范围以及外形图样、安装尺寸等。图表、简图、电路图以及印刷电路板图等都应清晰。</w:t>
      </w:r>
    </w:p>
    <w:p>
      <w:pPr>
        <w:numPr>
          <w:ilvl w:val="0"/>
          <w:numId w:val="2"/>
        </w:numPr>
        <w:tabs>
          <w:tab w:val="left" w:pos="420"/>
          <w:tab w:val="left" w:pos="900"/>
        </w:tabs>
        <w:spacing w:afterLines="20" w:line="360" w:lineRule="auto"/>
        <w:rPr>
          <w:rFonts w:ascii="宋体" w:hAnsi="宋体" w:eastAsia="宋体" w:cs="宋体"/>
          <w:sz w:val="24"/>
          <w:szCs w:val="24"/>
        </w:rPr>
      </w:pPr>
      <w:r>
        <w:rPr>
          <w:rFonts w:hint="eastAsia" w:ascii="宋体" w:hAnsi="宋体" w:eastAsia="宋体" w:cs="宋体"/>
          <w:sz w:val="24"/>
          <w:szCs w:val="24"/>
        </w:rPr>
        <w:t>供应商除须填写招标文件给出格式的文件作为投标的一部分外，还应提供或编写必要的说明性信息，包括但不限于：项目实施的方案、技术服务方案、培训方案、售后服务方案和承诺等，作为对本章相关内容的技术响应。</w:t>
      </w:r>
    </w:p>
    <w:p>
      <w:pPr>
        <w:numPr>
          <w:ilvl w:val="0"/>
          <w:numId w:val="2"/>
        </w:numPr>
        <w:tabs>
          <w:tab w:val="left" w:pos="420"/>
          <w:tab w:val="left" w:pos="900"/>
        </w:tabs>
        <w:spacing w:afterLines="20" w:line="360" w:lineRule="auto"/>
        <w:rPr>
          <w:rFonts w:ascii="宋体" w:hAnsi="宋体" w:eastAsia="宋体" w:cs="宋体"/>
          <w:sz w:val="24"/>
          <w:szCs w:val="24"/>
        </w:rPr>
      </w:pPr>
      <w:r>
        <w:rPr>
          <w:rFonts w:hint="eastAsia" w:ascii="宋体" w:hAnsi="宋体" w:eastAsia="宋体" w:cs="宋体"/>
          <w:sz w:val="24"/>
          <w:szCs w:val="24"/>
        </w:rPr>
        <w:t>工作条件：</w:t>
      </w:r>
      <w:r>
        <w:rPr>
          <w:rFonts w:hint="eastAsia" w:ascii="宋体" w:hAnsi="宋体" w:eastAsia="宋体" w:cs="宋体"/>
          <w:bCs/>
          <w:kern w:val="0"/>
          <w:sz w:val="24"/>
          <w:szCs w:val="24"/>
        </w:rPr>
        <w:t>除了在技术规格中另有规定外，</w:t>
      </w:r>
      <w:r>
        <w:rPr>
          <w:rFonts w:hint="eastAsia" w:ascii="宋体" w:hAnsi="宋体" w:eastAsia="宋体" w:cs="宋体"/>
          <w:sz w:val="24"/>
          <w:szCs w:val="24"/>
        </w:rPr>
        <w:t>供应商</w:t>
      </w:r>
      <w:r>
        <w:rPr>
          <w:rFonts w:hint="eastAsia" w:ascii="宋体" w:hAnsi="宋体" w:eastAsia="宋体" w:cs="宋体"/>
          <w:bCs/>
          <w:kern w:val="0"/>
          <w:sz w:val="24"/>
          <w:szCs w:val="24"/>
        </w:rPr>
        <w:t>提供的一切仪器、设备和系统，应符合下列条件：</w:t>
      </w:r>
    </w:p>
    <w:p>
      <w:pPr>
        <w:numPr>
          <w:ilvl w:val="0"/>
          <w:numId w:val="3"/>
        </w:numPr>
        <w:tabs>
          <w:tab w:val="left" w:pos="640"/>
          <w:tab w:val="left" w:pos="840"/>
          <w:tab w:val="left" w:pos="1140"/>
        </w:tabs>
        <w:spacing w:afterLines="20" w:line="360" w:lineRule="auto"/>
        <w:ind w:left="735" w:hanging="315"/>
        <w:rPr>
          <w:rFonts w:ascii="宋体" w:hAnsi="宋体" w:eastAsia="宋体" w:cs="宋体"/>
          <w:bCs/>
          <w:kern w:val="0"/>
          <w:sz w:val="24"/>
          <w:szCs w:val="24"/>
        </w:rPr>
      </w:pPr>
      <w:r>
        <w:rPr>
          <w:rFonts w:hint="eastAsia" w:ascii="宋体" w:hAnsi="宋体" w:eastAsia="宋体" w:cs="宋体"/>
          <w:sz w:val="24"/>
          <w:szCs w:val="24"/>
        </w:rPr>
        <w:t>仪器设备的插头要符合中国电工标准。如不符合，则应提供适合仪器插头的插座，必须要有接地。</w:t>
      </w:r>
    </w:p>
    <w:p>
      <w:pPr>
        <w:numPr>
          <w:ilvl w:val="0"/>
          <w:numId w:val="3"/>
        </w:numPr>
        <w:tabs>
          <w:tab w:val="left" w:pos="735"/>
          <w:tab w:val="left" w:pos="840"/>
          <w:tab w:val="left" w:pos="1140"/>
        </w:tabs>
        <w:spacing w:afterLines="20" w:line="360" w:lineRule="auto"/>
        <w:ind w:left="735" w:hanging="315"/>
        <w:rPr>
          <w:rFonts w:ascii="宋体" w:hAnsi="宋体" w:eastAsia="宋体" w:cs="宋体"/>
          <w:bCs/>
          <w:kern w:val="0"/>
          <w:sz w:val="24"/>
          <w:szCs w:val="24"/>
        </w:rPr>
      </w:pPr>
      <w:r>
        <w:rPr>
          <w:rFonts w:hint="eastAsia" w:ascii="宋体" w:hAnsi="宋体" w:eastAsia="宋体" w:cs="宋体"/>
          <w:kern w:val="0"/>
          <w:sz w:val="24"/>
          <w:szCs w:val="24"/>
        </w:rPr>
        <w:t>如果仪器设备需特殊的工作条件（如：水、电源、磁场强度、特殊温度、湿度、震动强度等），</w:t>
      </w:r>
      <w:r>
        <w:rPr>
          <w:rFonts w:hint="eastAsia" w:ascii="宋体" w:hAnsi="宋体" w:eastAsia="宋体" w:cs="宋体"/>
          <w:sz w:val="24"/>
          <w:szCs w:val="24"/>
        </w:rPr>
        <w:t>供应商</w:t>
      </w:r>
      <w:r>
        <w:rPr>
          <w:rFonts w:hint="eastAsia" w:ascii="宋体" w:hAnsi="宋体" w:eastAsia="宋体" w:cs="宋体"/>
          <w:kern w:val="0"/>
          <w:sz w:val="24"/>
          <w:szCs w:val="24"/>
        </w:rPr>
        <w:t>应在有关投标文件中加以说明。</w:t>
      </w:r>
    </w:p>
    <w:p>
      <w:pPr>
        <w:numPr>
          <w:ilvl w:val="0"/>
          <w:numId w:val="2"/>
        </w:numPr>
        <w:tabs>
          <w:tab w:val="left" w:pos="0"/>
          <w:tab w:val="left" w:pos="420"/>
        </w:tabs>
        <w:spacing w:afterLines="20" w:line="360" w:lineRule="auto"/>
        <w:rPr>
          <w:rFonts w:ascii="宋体" w:hAnsi="宋体" w:eastAsia="宋体" w:cs="宋体"/>
          <w:sz w:val="24"/>
          <w:szCs w:val="24"/>
        </w:rPr>
      </w:pPr>
      <w:r>
        <w:rPr>
          <w:rFonts w:hint="eastAsia" w:ascii="宋体" w:hAnsi="宋体" w:eastAsia="宋体" w:cs="宋体"/>
          <w:sz w:val="24"/>
          <w:szCs w:val="24"/>
        </w:rPr>
        <w:t>培训要求：培训是指涉及产品基本原理、安装、调试、操作使用和保养维修等有关内容的学习。供应商应保证在采购人指定交货地点对每包（品目）最终用户设备操作人员提供不少于1天的免费培训。供应商投标时应提供详细的培训方案。培训教员的差旅费、食宿费、培训教材等费用，应计入投标报价。</w:t>
      </w:r>
    </w:p>
    <w:p>
      <w:pPr>
        <w:tabs>
          <w:tab w:val="left" w:pos="0"/>
        </w:tabs>
        <w:spacing w:afterLines="20" w:line="360" w:lineRule="auto"/>
        <w:rPr>
          <w:rFonts w:ascii="宋体" w:hAnsi="宋体" w:eastAsia="宋体" w:cs="宋体"/>
          <w:b/>
          <w:bCs/>
          <w:sz w:val="24"/>
          <w:szCs w:val="24"/>
        </w:rPr>
      </w:pPr>
      <w:r>
        <w:rPr>
          <w:rFonts w:hint="eastAsia" w:ascii="宋体" w:hAnsi="宋体" w:eastAsia="宋体" w:cs="宋体"/>
          <w:b/>
          <w:bCs/>
          <w:sz w:val="24"/>
          <w:szCs w:val="24"/>
        </w:rPr>
        <w:t>七、采购标的需满足的质量、安全、技术规格、物理特性等要求：</w:t>
      </w:r>
    </w:p>
    <w:p>
      <w:pPr>
        <w:pStyle w:val="3"/>
        <w:spacing w:before="0" w:after="0" w:line="360" w:lineRule="auto"/>
        <w:rPr>
          <w:rFonts w:ascii="宋体" w:hAnsi="宋体" w:eastAsia="宋体" w:cs="宋体"/>
          <w:sz w:val="24"/>
          <w:szCs w:val="24"/>
        </w:rPr>
      </w:pPr>
      <w:r>
        <w:rPr>
          <w:rFonts w:hint="eastAsia" w:ascii="宋体" w:hAnsi="宋体" w:eastAsia="宋体" w:cs="宋体"/>
          <w:sz w:val="24"/>
          <w:szCs w:val="24"/>
        </w:rPr>
        <w:t>一、技术参数要求</w:t>
      </w:r>
    </w:p>
    <w:p>
      <w:pPr>
        <w:pStyle w:val="10"/>
        <w:spacing w:after="0" w:line="360" w:lineRule="auto"/>
        <w:ind w:left="1" w:hanging="1" w:firstLineChars="0"/>
        <w:rPr>
          <w:rFonts w:ascii="宋体" w:hAnsi="宋体" w:eastAsia="宋体" w:cs="宋体"/>
          <w:b/>
          <w:szCs w:val="24"/>
        </w:rPr>
      </w:pPr>
      <w:r>
        <w:rPr>
          <w:rFonts w:hint="eastAsia" w:ascii="宋体" w:hAnsi="宋体" w:eastAsia="宋体" w:cs="宋体"/>
          <w:b/>
          <w:szCs w:val="24"/>
        </w:rPr>
        <w:t>（一）护理智能管理信息系统（1套）</w:t>
      </w:r>
    </w:p>
    <w:p>
      <w:pPr>
        <w:spacing w:after="0" w:line="360" w:lineRule="auto"/>
        <w:ind w:left="-25" w:leftChars="-12" w:firstLine="22" w:firstLineChars="9"/>
        <w:outlineLvl w:val="1"/>
        <w:rPr>
          <w:rFonts w:ascii="宋体" w:hAnsi="宋体" w:eastAsia="宋体" w:cs="宋体"/>
          <w:sz w:val="24"/>
          <w:szCs w:val="24"/>
        </w:rPr>
      </w:pPr>
      <w:bookmarkStart w:id="0" w:name="_Toc4553"/>
      <w:r>
        <w:rPr>
          <w:rFonts w:hint="eastAsia" w:ascii="宋体" w:hAnsi="宋体" w:eastAsia="宋体" w:cs="宋体"/>
          <w:sz w:val="24"/>
          <w:szCs w:val="24"/>
        </w:rPr>
        <w:t xml:space="preserve"> (1)</w:t>
      </w:r>
      <w:bookmarkEnd w:id="0"/>
      <w:r>
        <w:rPr>
          <w:rFonts w:hint="eastAsia" w:ascii="宋体" w:hAnsi="宋体" w:eastAsia="宋体" w:cs="宋体"/>
          <w:sz w:val="24"/>
          <w:szCs w:val="24"/>
        </w:rPr>
        <w:t>总体要求</w:t>
      </w:r>
    </w:p>
    <w:tbl>
      <w:tblPr>
        <w:tblStyle w:val="7"/>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826"/>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367" w:type="dxa"/>
            <w:shd w:val="clear" w:color="000000" w:fill="E7E6E6" w:themeFill="background2"/>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项目模块</w:t>
            </w:r>
          </w:p>
        </w:tc>
        <w:tc>
          <w:tcPr>
            <w:tcW w:w="826" w:type="dxa"/>
            <w:shd w:val="clear" w:color="000000" w:fill="E7E6E6" w:themeFill="background2"/>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序号</w:t>
            </w:r>
          </w:p>
        </w:tc>
        <w:tc>
          <w:tcPr>
            <w:tcW w:w="6861" w:type="dxa"/>
            <w:shd w:val="clear" w:color="000000" w:fill="E7E6E6" w:themeFill="background2"/>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Merge w:val="restart"/>
            <w:shd w:val="clear" w:color="000000" w:fill="FFFFFF"/>
            <w:vAlign w:val="center"/>
          </w:tcPr>
          <w:p>
            <w:pPr>
              <w:spacing w:after="0"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系统集成要求</w:t>
            </w:r>
          </w:p>
        </w:tc>
        <w:tc>
          <w:tcPr>
            <w:tcW w:w="826" w:type="dxa"/>
            <w:shd w:val="clear" w:color="000000" w:fill="FFFFFF"/>
            <w:vAlign w:val="center"/>
          </w:tcPr>
          <w:p>
            <w:pPr>
              <w:spacing w:after="0" w:line="240" w:lineRule="auto"/>
              <w:jc w:val="center"/>
              <w:rPr>
                <w:rFonts w:ascii="宋体" w:hAnsi="宋体" w:eastAsia="宋体" w:cs="宋体"/>
                <w:color w:val="000000"/>
                <w:sz w:val="24"/>
                <w:szCs w:val="24"/>
              </w:rPr>
            </w:pPr>
            <w:r>
              <w:rPr>
                <w:rFonts w:hint="eastAsia" w:ascii="宋体" w:hAnsi="宋体" w:eastAsia="宋体" w:cs="宋体"/>
                <w:color w:val="333333"/>
                <w:sz w:val="24"/>
                <w:szCs w:val="24"/>
                <w:shd w:val="clear" w:color="auto" w:fill="FFFFFF"/>
              </w:rPr>
              <w:t>*</w:t>
            </w:r>
            <w:r>
              <w:rPr>
                <w:rFonts w:hint="eastAsia" w:ascii="宋体" w:hAnsi="宋体" w:eastAsia="宋体" w:cs="宋体"/>
                <w:color w:val="000000"/>
                <w:sz w:val="24"/>
                <w:szCs w:val="24"/>
              </w:rPr>
              <w:t>1</w:t>
            </w:r>
          </w:p>
        </w:tc>
        <w:tc>
          <w:tcPr>
            <w:tcW w:w="6861" w:type="dxa"/>
            <w:shd w:val="clear" w:color="000000" w:fill="FFFFFF"/>
            <w:vAlign w:val="center"/>
          </w:tcPr>
          <w:p>
            <w:pPr>
              <w:spacing w:after="0" w:line="240" w:lineRule="auto"/>
              <w:rPr>
                <w:rFonts w:ascii="宋体" w:hAnsi="宋体" w:eastAsia="宋体" w:cs="宋体"/>
                <w:color w:val="000000"/>
                <w:sz w:val="24"/>
                <w:szCs w:val="24"/>
              </w:rPr>
            </w:pPr>
            <w:r>
              <w:rPr>
                <w:rFonts w:hint="eastAsia" w:ascii="宋体" w:hAnsi="宋体" w:eastAsia="宋体" w:cs="宋体"/>
                <w:color w:val="000000"/>
                <w:sz w:val="24"/>
                <w:szCs w:val="24"/>
              </w:rPr>
              <w:t>所投标系统需与HIS、移动护理等系统进行对接，实现患者数据的无缝对接，与各系统对接所产生的接口开发费用由投标人自行承担。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Merge w:val="continue"/>
            <w:shd w:val="clear" w:color="000000" w:fill="FFFFFF"/>
            <w:vAlign w:val="center"/>
          </w:tcPr>
          <w:p>
            <w:pPr>
              <w:spacing w:after="0" w:line="240" w:lineRule="auto"/>
              <w:rPr>
                <w:rFonts w:ascii="宋体" w:hAnsi="宋体" w:eastAsia="宋体" w:cs="宋体"/>
                <w:color w:val="000000"/>
                <w:sz w:val="24"/>
                <w:szCs w:val="24"/>
              </w:rPr>
            </w:pPr>
          </w:p>
        </w:tc>
        <w:tc>
          <w:tcPr>
            <w:tcW w:w="826" w:type="dxa"/>
            <w:shd w:val="clear" w:color="000000" w:fill="FFFFFF"/>
            <w:vAlign w:val="center"/>
          </w:tcPr>
          <w:p>
            <w:pPr>
              <w:spacing w:after="0" w:line="240" w:lineRule="auto"/>
              <w:jc w:val="center"/>
              <w:rPr>
                <w:rFonts w:ascii="宋体" w:hAnsi="宋体" w:eastAsia="宋体" w:cs="宋体"/>
                <w:color w:val="000000"/>
                <w:sz w:val="24"/>
                <w:szCs w:val="24"/>
              </w:rPr>
            </w:pPr>
            <w:r>
              <w:rPr>
                <w:rFonts w:hint="eastAsia" w:ascii="宋体" w:hAnsi="宋体" w:eastAsia="宋体" w:cs="宋体"/>
                <w:color w:val="333333"/>
                <w:sz w:val="24"/>
                <w:szCs w:val="24"/>
                <w:shd w:val="clear" w:color="auto" w:fill="FFFFFF"/>
              </w:rPr>
              <w:t>*</w:t>
            </w:r>
            <w:r>
              <w:rPr>
                <w:rFonts w:hint="eastAsia" w:ascii="宋体" w:hAnsi="宋体" w:eastAsia="宋体" w:cs="宋体"/>
                <w:color w:val="000000"/>
                <w:sz w:val="24"/>
                <w:szCs w:val="24"/>
              </w:rPr>
              <w:t>2</w:t>
            </w:r>
          </w:p>
        </w:tc>
        <w:tc>
          <w:tcPr>
            <w:tcW w:w="6861" w:type="dxa"/>
            <w:shd w:val="clear" w:color="000000" w:fill="FFFFFF"/>
          </w:tcPr>
          <w:p>
            <w:pPr>
              <w:spacing w:after="0" w:line="240" w:lineRule="auto"/>
              <w:rPr>
                <w:rFonts w:ascii="宋体" w:hAnsi="宋体" w:eastAsia="宋体" w:cs="宋体"/>
                <w:color w:val="000000"/>
                <w:sz w:val="24"/>
                <w:szCs w:val="24"/>
              </w:rPr>
            </w:pPr>
            <w:r>
              <w:rPr>
                <w:rFonts w:hint="eastAsia" w:ascii="宋体" w:hAnsi="宋体" w:eastAsia="宋体" w:cs="宋体"/>
                <w:color w:val="000000"/>
                <w:sz w:val="24"/>
                <w:szCs w:val="24"/>
              </w:rPr>
              <w:t>供应商应仔细阅读项目需求说明，详细对医院的相关安装现场进行自行勘察，所投设备需包含布线施工费用。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Merge w:val="continue"/>
            <w:shd w:val="clear" w:color="000000" w:fill="FFFFFF"/>
            <w:vAlign w:val="center"/>
          </w:tcPr>
          <w:p>
            <w:pPr>
              <w:spacing w:after="0" w:line="240" w:lineRule="auto"/>
              <w:rPr>
                <w:rFonts w:ascii="宋体" w:hAnsi="宋体" w:eastAsia="宋体" w:cs="宋体"/>
                <w:color w:val="000000"/>
                <w:sz w:val="24"/>
                <w:szCs w:val="24"/>
              </w:rPr>
            </w:pPr>
          </w:p>
        </w:tc>
        <w:tc>
          <w:tcPr>
            <w:tcW w:w="826" w:type="dxa"/>
            <w:shd w:val="clear" w:color="000000" w:fill="FFFFFF"/>
            <w:vAlign w:val="center"/>
          </w:tcPr>
          <w:p>
            <w:pPr>
              <w:spacing w:after="0"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6861" w:type="dxa"/>
            <w:shd w:val="clear" w:color="000000" w:fill="FFFFFF"/>
          </w:tcPr>
          <w:p>
            <w:pPr>
              <w:spacing w:after="0" w:line="240" w:lineRule="auto"/>
              <w:rPr>
                <w:rFonts w:ascii="宋体" w:hAnsi="宋体" w:eastAsia="宋体" w:cs="宋体"/>
                <w:color w:val="000000"/>
                <w:sz w:val="24"/>
                <w:szCs w:val="24"/>
              </w:rPr>
            </w:pPr>
            <w:r>
              <w:rPr>
                <w:rFonts w:hint="eastAsia" w:ascii="宋体" w:hAnsi="宋体" w:eastAsia="宋体" w:cs="宋体"/>
                <w:color w:val="000000"/>
                <w:sz w:val="24"/>
                <w:szCs w:val="24"/>
              </w:rPr>
              <w:t>供应商须为本项目设立专门的实施服务队伍，并详细设计出项目实施计划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Merge w:val="continue"/>
            <w:shd w:val="clear" w:color="000000" w:fill="FFFFFF"/>
            <w:vAlign w:val="center"/>
          </w:tcPr>
          <w:p>
            <w:pPr>
              <w:spacing w:after="0" w:line="240" w:lineRule="auto"/>
              <w:rPr>
                <w:rFonts w:ascii="宋体" w:hAnsi="宋体" w:eastAsia="宋体" w:cs="宋体"/>
                <w:color w:val="000000"/>
                <w:sz w:val="24"/>
                <w:szCs w:val="24"/>
              </w:rPr>
            </w:pPr>
          </w:p>
        </w:tc>
        <w:tc>
          <w:tcPr>
            <w:tcW w:w="826" w:type="dxa"/>
            <w:shd w:val="clear" w:color="000000" w:fill="FFFFFF"/>
            <w:vAlign w:val="center"/>
          </w:tcPr>
          <w:p>
            <w:pPr>
              <w:spacing w:after="0"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6861" w:type="dxa"/>
            <w:shd w:val="clear" w:color="000000" w:fill="FFFFFF"/>
          </w:tcPr>
          <w:p>
            <w:pPr>
              <w:spacing w:after="0" w:line="240" w:lineRule="auto"/>
              <w:rPr>
                <w:rFonts w:ascii="宋体" w:hAnsi="宋体" w:eastAsia="宋体" w:cs="宋体"/>
                <w:color w:val="000000"/>
                <w:sz w:val="24"/>
                <w:szCs w:val="24"/>
              </w:rPr>
            </w:pPr>
            <w:r>
              <w:rPr>
                <w:rFonts w:hint="eastAsia" w:ascii="宋体" w:hAnsi="宋体" w:eastAsia="宋体" w:cs="宋体"/>
                <w:color w:val="000000"/>
                <w:sz w:val="24"/>
                <w:szCs w:val="24"/>
              </w:rPr>
              <w:t>成交供应商应服从院方的管理，并保证施工不影响医院的正常业务。施工期应尽量安排在医院就诊时间以外，严格遵守医院各项规章制度及管理措施</w:t>
            </w:r>
          </w:p>
        </w:tc>
      </w:tr>
    </w:tbl>
    <w:p>
      <w:pPr>
        <w:spacing w:after="0" w:line="360" w:lineRule="auto"/>
        <w:ind w:left="-25" w:leftChars="-12" w:firstLine="22" w:firstLineChars="9"/>
        <w:outlineLvl w:val="1"/>
        <w:rPr>
          <w:rFonts w:ascii="宋体" w:hAnsi="宋体" w:eastAsia="宋体" w:cs="宋体"/>
          <w:sz w:val="24"/>
          <w:szCs w:val="24"/>
        </w:rPr>
      </w:pPr>
      <w:r>
        <w:rPr>
          <w:rFonts w:hint="eastAsia" w:ascii="宋体" w:hAnsi="宋体" w:eastAsia="宋体" w:cs="宋体"/>
          <w:sz w:val="24"/>
          <w:szCs w:val="24"/>
        </w:rPr>
        <w:t xml:space="preserve"> (2)临床护理护理模块</w:t>
      </w:r>
    </w:p>
    <w:tbl>
      <w:tblPr>
        <w:tblStyle w:val="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809"/>
        <w:gridCol w:w="1653"/>
        <w:gridCol w:w="5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373" w:type="dxa"/>
            <w:shd w:val="clear" w:color="auto" w:fill="E7E6E6"/>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项目模块</w:t>
            </w:r>
          </w:p>
        </w:tc>
        <w:tc>
          <w:tcPr>
            <w:tcW w:w="809" w:type="dxa"/>
            <w:shd w:val="clear" w:color="auto" w:fill="E7E6E6"/>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1653" w:type="dxa"/>
            <w:shd w:val="clear" w:color="auto" w:fill="E7E6E6"/>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功能</w:t>
            </w:r>
          </w:p>
        </w:tc>
        <w:tc>
          <w:tcPr>
            <w:tcW w:w="5254" w:type="dxa"/>
            <w:shd w:val="clear" w:color="auto" w:fill="E7E6E6"/>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系统管理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系统用户管理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用户权限设置，用户名、密码、权限等同步HIS；提供用户管理界面，根据不同科室、用户权限可自行管理系统用户，可对用户权限进行调整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PDA设备管理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电脑端：本科室PDA管理：可管理PDA编号、床号范围、医嘱类别；PDA一览卡中床号范围的快速筛选、责任分组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手写项目管理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手写项目自维护：包括项目名称、项目声母码、值精度、上限、下限、项目类别（引流类、时间类、其他类）、单位、特殊值明细（特殊值、含义）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常用项目短语字典管理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声母码字典模版：设置项目编号、名称、声母码等。根据病情及治疗、手术、诊断、交班分类添加短语模版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医嘱分类管理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医嘱分类同步HIS；根据不同科室、不同的操作、可进行科室个性化的医嘱小分类；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病床排序管理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病床升序、降序排列，重点患者调整特别排序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ind w:left="6" w:leftChars="3" w:right="-107" w:rightChars="-51"/>
              <w:jc w:val="center"/>
              <w:rPr>
                <w:rFonts w:ascii="宋体" w:hAnsi="宋体" w:eastAsia="宋体" w:cs="宋体"/>
                <w:kern w:val="0"/>
                <w:sz w:val="24"/>
                <w:szCs w:val="24"/>
              </w:rPr>
            </w:pPr>
            <w:r>
              <w:rPr>
                <w:rFonts w:hint="eastAsia" w:ascii="宋体" w:hAnsi="宋体" w:eastAsia="宋体" w:cs="宋体"/>
                <w:kern w:val="0"/>
                <w:sz w:val="24"/>
                <w:szCs w:val="24"/>
              </w:rPr>
              <w:t>责任护士分组</w:t>
            </w:r>
          </w:p>
        </w:tc>
        <w:tc>
          <w:tcPr>
            <w:tcW w:w="5254"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划分责任护士所管辖床位。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评估字典管理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各类评估自定义管理；可对评估单评估内容各字段进行设置（包括名称、类容、分值）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体征异常管理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异常管理可对所有体征数据进行设置,如：上限值、下限值、次数等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体征特殊值管理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特殊值管理：如大便次数、方位、宫口等有特殊值显示的项目，可对该项目的类别、简称、打印简称进行设置如：大便次数‘☆’，‘※’的特殊标记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kern w:val="0"/>
                <w:sz w:val="24"/>
                <w:szCs w:val="24"/>
              </w:rPr>
            </w:pPr>
            <w:r>
              <w:rPr>
                <w:rFonts w:hint="eastAsia" w:ascii="宋体" w:hAnsi="宋体" w:eastAsia="宋体" w:cs="宋体"/>
                <w:sz w:val="24"/>
                <w:szCs w:val="24"/>
              </w:rPr>
              <w:t>11</w:t>
            </w:r>
          </w:p>
        </w:tc>
        <w:tc>
          <w:tcPr>
            <w:tcW w:w="1653" w:type="dxa"/>
            <w:vAlign w:val="center"/>
          </w:tcPr>
          <w:p>
            <w:pPr>
              <w:spacing w:after="0" w:line="240" w:lineRule="auto"/>
              <w:ind w:left="6" w:leftChars="3" w:right="-107" w:rightChars="-51"/>
              <w:jc w:val="center"/>
              <w:rPr>
                <w:rFonts w:ascii="宋体" w:hAnsi="宋体" w:eastAsia="宋体" w:cs="宋体"/>
                <w:kern w:val="0"/>
                <w:sz w:val="24"/>
                <w:szCs w:val="24"/>
              </w:rPr>
            </w:pPr>
            <w:r>
              <w:rPr>
                <w:rFonts w:hint="eastAsia" w:ascii="宋体" w:hAnsi="宋体" w:eastAsia="宋体" w:cs="宋体"/>
                <w:kern w:val="0"/>
                <w:sz w:val="24"/>
                <w:szCs w:val="24"/>
              </w:rPr>
              <w:t>出院病人调回</w:t>
            </w:r>
          </w:p>
        </w:tc>
        <w:tc>
          <w:tcPr>
            <w:tcW w:w="5254"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支持出院病人调回，调回病人与在院病人进行不同界面区分显示，调回病人可以进行生命体征、护理文书、护理记录的添加、修改、删除、打印等操作。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kern w:val="0"/>
                <w:sz w:val="24"/>
                <w:szCs w:val="24"/>
              </w:rPr>
            </w:pPr>
            <w:r>
              <w:rPr>
                <w:rFonts w:hint="eastAsia" w:ascii="宋体" w:hAnsi="宋体" w:eastAsia="宋体" w:cs="宋体"/>
                <w:sz w:val="24"/>
                <w:szCs w:val="24"/>
              </w:rPr>
              <w:t>12</w:t>
            </w:r>
          </w:p>
        </w:tc>
        <w:tc>
          <w:tcPr>
            <w:tcW w:w="1653" w:type="dxa"/>
            <w:vAlign w:val="center"/>
          </w:tcPr>
          <w:p>
            <w:pPr>
              <w:spacing w:after="0" w:line="240" w:lineRule="auto"/>
              <w:ind w:left="-2" w:leftChars="-1" w:right="-107" w:rightChars="-51" w:firstLine="7" w:firstLineChars="3"/>
              <w:jc w:val="center"/>
              <w:rPr>
                <w:rFonts w:ascii="宋体" w:hAnsi="宋体" w:eastAsia="宋体" w:cs="宋体"/>
                <w:kern w:val="0"/>
                <w:sz w:val="24"/>
                <w:szCs w:val="24"/>
              </w:rPr>
            </w:pPr>
            <w:r>
              <w:rPr>
                <w:rFonts w:hint="eastAsia" w:ascii="宋体" w:hAnsi="宋体" w:eastAsia="宋体" w:cs="宋体"/>
                <w:sz w:val="24"/>
                <w:szCs w:val="24"/>
              </w:rPr>
              <w:t>院感项目管理</w:t>
            </w:r>
          </w:p>
        </w:tc>
        <w:tc>
          <w:tcPr>
            <w:tcW w:w="5254"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院感</w:t>
            </w:r>
            <w:r>
              <w:rPr>
                <w:rFonts w:hint="eastAsia" w:ascii="宋体" w:hAnsi="宋体" w:eastAsia="宋体" w:cs="宋体"/>
                <w:kern w:val="0"/>
                <w:sz w:val="24"/>
                <w:szCs w:val="24"/>
              </w:rPr>
              <w:t>项目分类、项目名称维护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sz w:val="24"/>
                <w:szCs w:val="24"/>
              </w:rPr>
            </w:pPr>
            <w:r>
              <w:rPr>
                <w:rFonts w:hint="eastAsia" w:ascii="宋体" w:hAnsi="宋体" w:eastAsia="宋体" w:cs="宋体"/>
                <w:sz w:val="24"/>
                <w:szCs w:val="24"/>
              </w:rPr>
              <w:t>13</w:t>
            </w:r>
          </w:p>
        </w:tc>
        <w:tc>
          <w:tcPr>
            <w:tcW w:w="1653" w:type="dxa"/>
            <w:vAlign w:val="center"/>
          </w:tcPr>
          <w:p>
            <w:pPr>
              <w:spacing w:after="0" w:line="240" w:lineRule="auto"/>
              <w:ind w:left="6" w:leftChars="3" w:right="-107" w:rightChars="-51"/>
              <w:jc w:val="center"/>
              <w:rPr>
                <w:rFonts w:ascii="宋体" w:hAnsi="宋体" w:eastAsia="宋体" w:cs="宋体"/>
                <w:sz w:val="24"/>
                <w:szCs w:val="24"/>
              </w:rPr>
            </w:pPr>
            <w:r>
              <w:rPr>
                <w:rFonts w:hint="eastAsia" w:ascii="宋体" w:hAnsi="宋体" w:eastAsia="宋体" w:cs="宋体"/>
                <w:sz w:val="24"/>
                <w:szCs w:val="24"/>
              </w:rPr>
              <w:t>评估项目管理</w:t>
            </w:r>
          </w:p>
        </w:tc>
        <w:tc>
          <w:tcPr>
            <w:tcW w:w="5254" w:type="dxa"/>
            <w:vAlign w:val="center"/>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评估</w:t>
            </w:r>
            <w:r>
              <w:rPr>
                <w:rFonts w:hint="eastAsia" w:ascii="宋体" w:hAnsi="宋体" w:eastAsia="宋体" w:cs="宋体"/>
                <w:kern w:val="0"/>
                <w:sz w:val="24"/>
                <w:szCs w:val="24"/>
              </w:rPr>
              <w:t>项目配置、项目名称维护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sz w:val="24"/>
                <w:szCs w:val="24"/>
              </w:rPr>
            </w:pPr>
            <w:r>
              <w:rPr>
                <w:rFonts w:hint="eastAsia" w:ascii="宋体" w:hAnsi="宋体" w:eastAsia="宋体" w:cs="宋体"/>
                <w:sz w:val="24"/>
                <w:szCs w:val="24"/>
              </w:rPr>
              <w:t>14</w:t>
            </w:r>
          </w:p>
        </w:tc>
        <w:tc>
          <w:tcPr>
            <w:tcW w:w="1653" w:type="dxa"/>
            <w:vAlign w:val="center"/>
          </w:tcPr>
          <w:p>
            <w:pPr>
              <w:spacing w:after="0" w:line="240" w:lineRule="auto"/>
              <w:ind w:left="6" w:leftChars="3" w:right="-107" w:rightChars="-51" w:firstLine="7" w:firstLineChars="3"/>
              <w:jc w:val="center"/>
              <w:rPr>
                <w:rFonts w:ascii="宋体" w:hAnsi="宋体" w:eastAsia="宋体" w:cs="宋体"/>
                <w:sz w:val="24"/>
                <w:szCs w:val="24"/>
              </w:rPr>
            </w:pPr>
            <w:r>
              <w:rPr>
                <w:rFonts w:hint="eastAsia" w:ascii="宋体" w:hAnsi="宋体" w:eastAsia="宋体" w:cs="宋体"/>
                <w:sz w:val="24"/>
                <w:szCs w:val="24"/>
              </w:rPr>
              <w:t>食物含水量管理</w:t>
            </w:r>
          </w:p>
        </w:tc>
        <w:tc>
          <w:tcPr>
            <w:tcW w:w="5254" w:type="dxa"/>
            <w:vAlign w:val="center"/>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根据行业设置规则提供食物含水量换算字典库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sz w:val="24"/>
                <w:szCs w:val="24"/>
              </w:rPr>
            </w:pPr>
            <w:r>
              <w:rPr>
                <w:rFonts w:hint="eastAsia" w:ascii="宋体" w:hAnsi="宋体" w:eastAsia="宋体" w:cs="宋体"/>
                <w:sz w:val="24"/>
                <w:szCs w:val="24"/>
              </w:rPr>
              <w:t>15</w:t>
            </w:r>
          </w:p>
        </w:tc>
        <w:tc>
          <w:tcPr>
            <w:tcW w:w="1653" w:type="dxa"/>
            <w:vAlign w:val="center"/>
          </w:tcPr>
          <w:p>
            <w:pPr>
              <w:spacing w:after="0" w:line="240" w:lineRule="auto"/>
              <w:ind w:left="4" w:leftChars="2" w:right="-107" w:rightChars="-51"/>
              <w:jc w:val="center"/>
              <w:rPr>
                <w:rFonts w:ascii="宋体" w:hAnsi="宋体" w:eastAsia="宋体" w:cs="宋体"/>
                <w:sz w:val="24"/>
                <w:szCs w:val="24"/>
              </w:rPr>
            </w:pPr>
            <w:r>
              <w:rPr>
                <w:rFonts w:hint="eastAsia" w:ascii="宋体" w:hAnsi="宋体" w:eastAsia="宋体" w:cs="宋体"/>
                <w:sz w:val="24"/>
                <w:szCs w:val="24"/>
              </w:rPr>
              <w:t>用户电子CA签名配置</w:t>
            </w:r>
          </w:p>
        </w:tc>
        <w:tc>
          <w:tcPr>
            <w:tcW w:w="5254" w:type="dxa"/>
            <w:vAlign w:val="center"/>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可实现于北京CA数字认证对接，满足护理病历电子签名的需求。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pStyle w:val="12"/>
              <w:spacing w:after="0" w:line="240" w:lineRule="auto"/>
              <w:ind w:leftChars="-1" w:hanging="2" w:hangingChars="1"/>
              <w:jc w:val="center"/>
              <w:rPr>
                <w:rFonts w:ascii="宋体" w:hAnsi="宋体" w:eastAsia="宋体" w:cs="宋体"/>
                <w:sz w:val="24"/>
                <w:szCs w:val="24"/>
              </w:rPr>
            </w:pPr>
            <w:r>
              <w:rPr>
                <w:rFonts w:hint="eastAsia" w:ascii="宋体" w:hAnsi="宋体" w:eastAsia="宋体" w:cs="宋体"/>
                <w:sz w:val="24"/>
                <w:szCs w:val="24"/>
              </w:rPr>
              <w:t>16</w:t>
            </w:r>
          </w:p>
        </w:tc>
        <w:tc>
          <w:tcPr>
            <w:tcW w:w="1653" w:type="dxa"/>
            <w:vAlign w:val="center"/>
          </w:tcPr>
          <w:p>
            <w:pPr>
              <w:spacing w:after="0" w:line="240" w:lineRule="auto"/>
              <w:ind w:left="4" w:leftChars="2" w:right="-107" w:rightChars="-51"/>
              <w:jc w:val="center"/>
              <w:rPr>
                <w:rFonts w:ascii="宋体" w:hAnsi="宋体" w:eastAsia="宋体" w:cs="宋体"/>
                <w:sz w:val="24"/>
                <w:szCs w:val="24"/>
              </w:rPr>
            </w:pPr>
            <w:r>
              <w:rPr>
                <w:rFonts w:hint="eastAsia" w:ascii="宋体" w:hAnsi="宋体" w:eastAsia="宋体" w:cs="宋体"/>
                <w:sz w:val="24"/>
                <w:szCs w:val="24"/>
              </w:rPr>
              <w:t>出院病人批量删除</w:t>
            </w:r>
          </w:p>
        </w:tc>
        <w:tc>
          <w:tcPr>
            <w:tcW w:w="5254" w:type="dxa"/>
            <w:vAlign w:val="center"/>
          </w:tcPr>
          <w:p>
            <w:pPr>
              <w:spacing w:after="0" w:line="24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患者信息</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基本信息</w:t>
            </w:r>
          </w:p>
        </w:tc>
        <w:tc>
          <w:tcPr>
            <w:tcW w:w="5254" w:type="dxa"/>
            <w:vAlign w:val="center"/>
          </w:tcPr>
          <w:p>
            <w:pPr>
              <w:widowControl/>
              <w:spacing w:after="0" w:line="240" w:lineRule="auto"/>
              <w:rPr>
                <w:rFonts w:ascii="宋体" w:hAnsi="宋体" w:eastAsia="宋体" w:cs="宋体"/>
                <w:kern w:val="0"/>
                <w:sz w:val="24"/>
                <w:szCs w:val="24"/>
              </w:rPr>
            </w:pPr>
            <w:r>
              <w:rPr>
                <w:rFonts w:hint="eastAsia" w:ascii="宋体" w:hAnsi="宋体" w:eastAsia="宋体" w:cs="宋体"/>
                <w:kern w:val="0"/>
                <w:sz w:val="24"/>
                <w:szCs w:val="24"/>
              </w:rPr>
              <w:t>显示当前患者基本信息，包括姓名、床号、性别、年龄、主治医师、病情级别、护理等级、费别、入院时间、诊断、费用、过敏史、病人ID等；显示当前登录用户；信息提示：会议通知、培训通知、考试通知等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腕带打印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腕带打印，用以标示患者身份，包含姓名、性别、病人ID、双条码、年龄、科室；根据不同的实施期：入院处全院打印和试点时病区内打印两种模式；据不同患者打印不同材质不同大小腕带，例如患者以成人、儿童、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病人一览卡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PC与PDA端提供患者简易一览卡：显示患者姓名、床号、性别、年龄、病情级别、护理等级、病人ID等关键信息；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ind w:left="6" w:leftChars="3"/>
              <w:jc w:val="center"/>
              <w:rPr>
                <w:rFonts w:ascii="宋体" w:hAnsi="宋体" w:eastAsia="宋体" w:cs="宋体"/>
                <w:kern w:val="0"/>
                <w:sz w:val="24"/>
                <w:szCs w:val="24"/>
              </w:rPr>
            </w:pPr>
            <w:r>
              <w:rPr>
                <w:rFonts w:hint="eastAsia" w:ascii="宋体" w:hAnsi="宋体" w:eastAsia="宋体" w:cs="宋体"/>
                <w:kern w:val="0"/>
                <w:sz w:val="24"/>
                <w:szCs w:val="24"/>
              </w:rPr>
              <w:t>一览卡</w:t>
            </w:r>
            <w:r>
              <w:rPr>
                <w:rFonts w:hint="eastAsia" w:ascii="宋体" w:hAnsi="宋体" w:eastAsia="宋体" w:cs="宋体"/>
                <w:bCs/>
                <w:sz w:val="24"/>
                <w:szCs w:val="24"/>
              </w:rPr>
              <w:t>提示信息</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bCs/>
                <w:sz w:val="24"/>
                <w:szCs w:val="24"/>
              </w:rPr>
              <w:t>一览卡中提示：新入院病人数、各护理等级病人数、病重人数、当日手术人数、床位使用率等信息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床头卡打印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患者床头卡打印：显示床号、姓名、性别、年龄、病历号、诊断、入院日期、条码（诊断可自编辑）；支持打印预览、可调整预览百分比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患者自定义筛选</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患者筛选：全选、特选模式，可根据特选条件快速筛选患者，如：三日无大便、七日无血压、体征信息异常、物理降温、需记一般护理、需记特别护理、出院病人调回等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患者床位切换</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支持连续换床、下拉列表选择、一览卡选择、PDA执行扫描核对操作时自动换床，如：体征采集、医嘱执行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患者关键时间跟踪</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入科时间、转入时间、手术开始结束时间或入出手术室时间、转出时间、出院时间等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护理巡视查房</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患者出入病区进行扫描登记以便追踪患者情况。即：可提供并支持床头卡、腕带、输液贴等途径和方式进行分级护理的巡房扫描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科室出院病人查询</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科室出院病人查询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欠费病人一览表</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欠费病人一览表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关键病人统计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入院人数、出院人数等关键跟踪病人统计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体征管理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生命体征床旁采集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PDA移动端支持体征床旁采集，PDA、PC端支持患者体征信息实时查看，选择过滤条件，设置异常值，可筛选体征值异常的患者（移动端和PC端）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体征数据录入方式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支持患者体征信息的单个、批量录入。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ind w:left="-2" w:leftChars="-1"/>
              <w:jc w:val="center"/>
              <w:rPr>
                <w:rFonts w:ascii="宋体" w:hAnsi="宋体" w:eastAsia="宋体" w:cs="宋体"/>
                <w:kern w:val="0"/>
                <w:sz w:val="24"/>
                <w:szCs w:val="24"/>
              </w:rPr>
            </w:pPr>
            <w:r>
              <w:rPr>
                <w:rFonts w:hint="eastAsia" w:ascii="宋体" w:hAnsi="宋体" w:eastAsia="宋体" w:cs="宋体"/>
                <w:sz w:val="24"/>
                <w:szCs w:val="24"/>
              </w:rPr>
              <w:t>神志和瞳孔</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支持神志和瞳孔的录入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血压</w:t>
            </w:r>
          </w:p>
        </w:tc>
        <w:tc>
          <w:tcPr>
            <w:tcW w:w="5254" w:type="dxa"/>
            <w:vAlign w:val="center"/>
          </w:tcPr>
          <w:p>
            <w:pPr>
              <w:widowControl/>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患者住院期间血压测量相关信息的录入、修改、预览，PC端打印、结构化文书的操作，能根据护士需求自动关联体温单。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血糖</w:t>
            </w:r>
          </w:p>
        </w:tc>
        <w:tc>
          <w:tcPr>
            <w:tcW w:w="5254" w:type="dxa"/>
            <w:vAlign w:val="center"/>
          </w:tcPr>
          <w:p>
            <w:pPr>
              <w:widowControl/>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患者住院期间出入量相关信息的录入、修改、预览，PC端打印，结构化文书操作，可配置，符合等级医院评审标准，能根据护士需求自动关联体温单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手写项目</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手写项目录入、包括引流类、时间类、其他类；手写项目用户可自维护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出入量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出入量录入，包括：尿量、出量、入量、大便、灌肠后的大便次数等；主界面显示并自动计算出入量明细，出入量的总量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出入量记录单打印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提供出入量总量等数据的打印功能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体温单打印、预览、修改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根据录入体征数据自动绘制体温单；体温单打印、打印预览；预览是可调的百分比显示，方便查看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体温单打印提醒</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体温单相关智能提醒如：体温单满页提醒、体温单相关信息漏录提醒（可提醒具体哪天，哪项数据没有录入）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T表打印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根据录入的相关体征数据自动生成T表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单项体征值打印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根据录入的生命体征数据自动生成单项体征单包括：体温、呼吸、血压、血糖、脉搏、心率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体征异常值打印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根据用户定义的体征异常范围，生成体征异常值表单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生命体征观察单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根据录入生命体征、瞳孔神智相关数据；自动生成当前病人全部时间段的生命体征观察单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653" w:type="dxa"/>
            <w:vAlign w:val="center"/>
          </w:tcPr>
          <w:p>
            <w:pPr>
              <w:spacing w:after="0" w:line="240" w:lineRule="auto"/>
              <w:ind w:left="6" w:leftChars="3"/>
              <w:jc w:val="center"/>
              <w:rPr>
                <w:rFonts w:ascii="宋体" w:hAnsi="宋体" w:eastAsia="宋体" w:cs="宋体"/>
                <w:kern w:val="0"/>
                <w:sz w:val="24"/>
                <w:szCs w:val="24"/>
              </w:rPr>
            </w:pPr>
            <w:r>
              <w:rPr>
                <w:rFonts w:hint="eastAsia" w:ascii="宋体" w:hAnsi="宋体" w:eastAsia="宋体" w:cs="宋体"/>
                <w:kern w:val="0"/>
                <w:sz w:val="24"/>
                <w:szCs w:val="24"/>
              </w:rPr>
              <w:t>单项护理单打印、续打</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体温、血压、呼吸等单项护理单打印、续打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653" w:type="dxa"/>
            <w:vAlign w:val="center"/>
          </w:tcPr>
          <w:p>
            <w:pPr>
              <w:spacing w:after="0" w:line="240" w:lineRule="auto"/>
              <w:ind w:left="6" w:leftChars="3"/>
              <w:jc w:val="center"/>
              <w:rPr>
                <w:rFonts w:ascii="宋体" w:hAnsi="宋体" w:eastAsia="宋体" w:cs="宋体"/>
                <w:kern w:val="0"/>
                <w:sz w:val="24"/>
                <w:szCs w:val="24"/>
              </w:rPr>
            </w:pPr>
            <w:r>
              <w:rPr>
                <w:rFonts w:hint="eastAsia" w:ascii="宋体" w:hAnsi="宋体" w:eastAsia="宋体" w:cs="宋体"/>
                <w:kern w:val="0"/>
                <w:sz w:val="24"/>
                <w:szCs w:val="24"/>
              </w:rPr>
              <w:t>血糖记录单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血糖单的生成、预览及打印；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获取监护仪数据</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根据监护仪开发数据对接接口，完成自动获取监护仪数据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653" w:type="dxa"/>
            <w:vAlign w:val="center"/>
          </w:tcPr>
          <w:p>
            <w:pPr>
              <w:spacing w:after="0" w:line="240" w:lineRule="auto"/>
              <w:ind w:left="6" w:leftChars="3"/>
              <w:jc w:val="center"/>
              <w:rPr>
                <w:rFonts w:ascii="宋体" w:hAnsi="宋体" w:eastAsia="宋体" w:cs="宋体"/>
                <w:kern w:val="0"/>
                <w:sz w:val="24"/>
                <w:szCs w:val="24"/>
              </w:rPr>
            </w:pPr>
            <w:r>
              <w:rPr>
                <w:rFonts w:hint="eastAsia" w:ascii="宋体" w:hAnsi="宋体" w:eastAsia="宋体" w:cs="宋体"/>
                <w:kern w:val="0"/>
                <w:sz w:val="24"/>
                <w:szCs w:val="24"/>
              </w:rPr>
              <w:t>翻身卡</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生成并打印翻身卡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653" w:type="dxa"/>
            <w:vAlign w:val="center"/>
          </w:tcPr>
          <w:p>
            <w:pPr>
              <w:spacing w:after="0" w:line="240" w:lineRule="auto"/>
              <w:ind w:left="6" w:leftChars="3"/>
              <w:jc w:val="center"/>
              <w:rPr>
                <w:rFonts w:ascii="宋体" w:hAnsi="宋体" w:eastAsia="宋体" w:cs="宋体"/>
                <w:kern w:val="0"/>
                <w:sz w:val="24"/>
                <w:szCs w:val="24"/>
              </w:rPr>
            </w:pPr>
            <w:r>
              <w:rPr>
                <w:rFonts w:hint="eastAsia" w:ascii="宋体" w:hAnsi="宋体" w:eastAsia="宋体" w:cs="宋体"/>
                <w:kern w:val="0"/>
                <w:sz w:val="24"/>
                <w:szCs w:val="24"/>
              </w:rPr>
              <w:t>心电监测</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记录并生成心电监测记录信息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护理评估</w:t>
            </w:r>
          </w:p>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（评估结构化、智能化、提醒、查询）</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入院护理评估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患者入院当天《入院护理评估单》相关信息的录入，可根据医院特色进行个性化定制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儿童入院评估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儿童专用入院评估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生活自能力评估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患者住院期间日常生活自理能力，自动计算分数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压疮风险评估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患者住院期间压疮风险评估，自动计算分数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压疮伤口评估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患者住院期间压疮伤口评估，自动计算分数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小儿压疮风险评估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小儿患者住院期间压疮伤口评估，自动计算分数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跌倒坠床评估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患者住院期间跌倒/坠床评估，自动计算分数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小儿跌倒坠床评估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小儿住院期间跌倒/坠床评估，自动计算分数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疼痛评估</w:t>
            </w:r>
          </w:p>
        </w:tc>
        <w:tc>
          <w:tcPr>
            <w:tcW w:w="5254" w:type="dxa"/>
            <w:vAlign w:val="center"/>
          </w:tcPr>
          <w:p>
            <w:pPr>
              <w:spacing w:after="0" w:line="240" w:lineRule="auto"/>
              <w:rPr>
                <w:rFonts w:ascii="宋体" w:hAnsi="宋体" w:eastAsia="宋体" w:cs="宋体"/>
                <w:kern w:val="0"/>
                <w:sz w:val="24"/>
                <w:szCs w:val="24"/>
              </w:rPr>
            </w:pPr>
            <w:bookmarkStart w:id="1" w:name="OLE_LINK9"/>
            <w:r>
              <w:rPr>
                <w:rFonts w:hint="eastAsia" w:ascii="宋体" w:hAnsi="宋体" w:eastAsia="宋体" w:cs="宋体"/>
                <w:kern w:val="0"/>
                <w:sz w:val="24"/>
                <w:szCs w:val="24"/>
              </w:rPr>
              <w:t>患者住院期间疼痛评分、评估分为脸谱与标尺俩种模式，根据不同的疼痛值推送处理方式，如：心理支持、告知医生镇痛干预处理；显示当前患者的和疼痛处理相关的医嘱</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导管滑脱风险评估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患者住院期间导管滑脱风险评估，自动计算分数；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静脉外渗/药物外渗风险评估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患者住院期间静脉外渗/药物外渗风险评估；静脉外渗/药物外渗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深静脉血栓评估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深静脉血栓评估及相关措施、表单生成与打印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约束带评估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约束带评估及相关措施、表单生成与打印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尿失禁评估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尿失禁评估及相关措施、表单生成与打印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精神状态评估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精神状态评估及相关措施、表单生成与打印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患者焦虑、抑郁评估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患者焦虑、抑郁评估及相关措施、表单生成与打印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意识障碍评估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患者意识障碍评估及相关措施、表单生成与打印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GLASGOW昏迷评分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患者住院期间GLASGOW昏迷评估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RAMSAY镇静评估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患者住院期间RAMSAY镇静评估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WELLS下肢静脉血栓评估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患者住院期间WELLS下肢静脉血栓评估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WELLS肺栓塞评估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患者住院期间WELLS肺栓塞评估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GENEVA肺栓塞评估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患者住院期间GENEVA肺栓塞评估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营养风险筛查NRS-2002评估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患者住院期间营养风险筛查NRS-2002评估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非计划拔管风险评估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非计划拔管风险评估及相关措施、表单生成与打印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营养评估表</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营养评估表及相关措施、表单生成与打印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DVT风险评估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DVT风险评估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评估结构化</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所有评估自行维护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智能化</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需计算分数评估、根据风险因素自动计算分数；评估根据不同级别、自动推送相应措施；#如：导管滑脱风险评估 1-7分为Ⅰ级8-12分为Ⅱ级13及以上为三Ⅲ级，每级能护理措施不同，达到相应等级只出现该等级应采用的措施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评估提醒</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评估提醒：提醒当前班该评估的病人；显示评估类型、历史评估时间、分数、等级等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护理评估查询</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1.今日评估一览表，科查看全科所有患者、所有评估（护士长、护理部权限，为查询护士评估工作情况）当日评估情况2.病人评估一览界：显示全病区患者各项评估的风险情况，有结果值如：无风险、分数、分数/等级，有风险的有具体颜色，不同评估不同的颜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评估数据共享</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所有评估内容可根据用户需要，一键式转入护理记录、特护、交班记录等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医嘱管理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补充医嘱项目</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用户可自行添加补充医嘱项目；包括：医嘱内容、备入量、实入量、子父医嘱结构、给药方式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医嘱贴打印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患者住院医嘱打印；支持单床打印多床打印两种模式；并根据医嘱时间、类型、打印状态等信息进行打印筛选；支持打印预览；可根据用户科室配备的打印机情况打印不同大小的医嘱贴；医嘱贴内容可根据用户个性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医嘱筛选、医嘱分类显示</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根据医嘱类型、状态、打印标记、类别等快速筛选医嘱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备注填写</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支持护士填写医嘱备注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剂量修改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用户可根据实际情况调整医嘱剂量、实入量、备入量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医嘱补执行</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由于特殊原因护士没有通过PDA执行医嘱，PC端可以补执行，但需要注明原因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新开医嘱提醒</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对于新开出的医嘱，PDA上会自动推送信息提醒护士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执行医嘱提醒</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执行过程提醒（未按执行流程执行）；患者核对提醒；医嘱已停提醒；非该患者医嘱提醒等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653"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kern w:val="0"/>
                <w:sz w:val="24"/>
                <w:szCs w:val="24"/>
              </w:rPr>
              <w:t>医嘱执行巡视</w:t>
            </w:r>
          </w:p>
        </w:tc>
        <w:tc>
          <w:tcPr>
            <w:tcW w:w="5254" w:type="dxa"/>
            <w:vAlign w:val="center"/>
          </w:tcPr>
          <w:p>
            <w:pPr>
              <w:spacing w:after="0" w:line="240" w:lineRule="auto"/>
              <w:rPr>
                <w:rFonts w:ascii="宋体" w:hAnsi="宋体" w:eastAsia="宋体" w:cs="宋体"/>
                <w:sz w:val="24"/>
                <w:szCs w:val="24"/>
              </w:rPr>
            </w:pPr>
            <w:r>
              <w:rPr>
                <w:rFonts w:hint="eastAsia" w:ascii="宋体" w:hAnsi="宋体" w:eastAsia="宋体" w:cs="宋体"/>
                <w:kern w:val="0"/>
                <w:sz w:val="24"/>
                <w:szCs w:val="24"/>
              </w:rPr>
              <w:t>对执行用药患者情况的查看及一般情况的基本操作，包括暂停，继续，终止，录入滴速和异常情况。</w:t>
            </w:r>
            <w:r>
              <w:rPr>
                <w:rFonts w:hint="eastAsia" w:ascii="宋体" w:hAnsi="宋体" w:eastAsia="宋体" w:cs="宋体"/>
                <w:bCs/>
                <w:sz w:val="24"/>
                <w:szCs w:val="24"/>
              </w:rPr>
              <w:t>中断输液后的医嘱若再次继续执行，必须再次扫描输液瓶签条码继续医嘱执行。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医嘱执行单/巡视单打印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按照医嘱对患者输液用药进行输液巡视单的打印、按照医嘱对患者输液用药进行输液执行单的查询、打印；可根据医嘱类型分类打印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653" w:type="dxa"/>
            <w:vAlign w:val="center"/>
          </w:tcPr>
          <w:p>
            <w:pPr>
              <w:spacing w:after="0" w:line="240" w:lineRule="auto"/>
              <w:ind w:left="6" w:leftChars="3"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皮试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皮试记录提醒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653" w:type="dxa"/>
            <w:vAlign w:val="center"/>
          </w:tcPr>
          <w:p>
            <w:pPr>
              <w:spacing w:after="0" w:line="240" w:lineRule="auto"/>
              <w:ind w:left="6" w:leftChars="3"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静脉用药调配中心核对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对接配置中心条码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653" w:type="dxa"/>
            <w:vAlign w:val="center"/>
          </w:tcPr>
          <w:p>
            <w:pPr>
              <w:spacing w:after="0" w:line="240" w:lineRule="auto"/>
              <w:ind w:left="6" w:leftChars="3"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输液贴打印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输液瓶贴的单床或者整体打印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653" w:type="dxa"/>
            <w:vAlign w:val="center"/>
          </w:tcPr>
          <w:p>
            <w:pPr>
              <w:spacing w:after="0" w:line="240" w:lineRule="auto"/>
              <w:ind w:left="6" w:leftChars="3"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床头卡打印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床头卡补打功能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扫描枪执行</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支持扫描枪扫描执行记录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非输液类医嘱执行</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口服药扫描核对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根据医院实际情况调整、有包药机时可以和包药机进行联调，达到口服药执行闭环。如无包药机的可以提供的医嘱贴打印中打印口服药条码执行时先扫描腕带再扫描口服药条码匹配后执行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标本采集核对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根据标本采集流程（采集、送检、接收）生成可追溯的采集记录，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检查检验扫描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检查类：检查科室确认检查预约完成后，可打印检查单，护士通知患者或家属检查时扫描确认；检验：各类检验类条码执行确认，对于抽血比较多的科室、为减少用户工作量可做打包扫描处理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输血核对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输血核对、不良反应记录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护理类医嘱扫描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护士扫描患者腕带，列出该患者需要执行的护理医嘱（小治疗），护士点选其中一条，表明已经执行，可计入工作量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护嘱核对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护嘱的核对与执行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输液类医嘱执行</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收药扫描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收药环节扫描记录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核对扫描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双人核对医嘱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摆液配药扫描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摆药环节核对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执行核对扫描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执行时核对、先扫腕带核对患者、再扫输液贴核对医嘱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输液中止、暂停</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输液过程中因特殊原因需中止、暂停、终止执行，通过PDA进行记录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医嘱执行提醒</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执行过程提醒（未按执行流程执行）；患者核对提醒；医嘱已停提醒；非该患者医嘱提醒等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拔针扫描</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输液完成后，拔针扫描记录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医嘱执行统计</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全科医嘱执行统计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统计护士每个人的医嘱执行工作量，包括收药、摆药、核对、执行、拔针全过程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护理级别巡视统计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统计护士每个人完成的护理级别巡视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扫码率</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扫码率的统计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健康宣教</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健康宣教类型</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入院宣教、住院宣教、特殊宣教、安全宣教等模板维护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宣教情况确认</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对于做完宣教的患者，可以确认宣教知晓情况进行评价包括知晓、部分知晓、不知晓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健康教育资料</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宣教资料库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健康教育路径</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健康教育路径管理、生成与打印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导管管理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PICC导管记录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记录PICC导管情况包括：患者信息、置管史、出凝血状态（手写描述）、置管时间、既往病史（手术史、过敏史、静脉内瘘等）、PICC管的品牌、型号、批号等、穿刺方法、并发症等信息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人工气道</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人工气道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留置导尿管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留置导尿管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患者导管登记</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登记录入患者导管情况；包括：导管类型、置管日期、拔管日期等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患者导管统计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按时间段统计患者导管情况；包括：导管类型、置管日期、拔管日期、累计天数等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护理会诊</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会诊类型管理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压疮、伤口、造口、静脉输液、危重症、危重访视、糖尿病等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会诊单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支持各类会诊单打印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会诊填写内容</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病人基本信息、会诊科室、问题描述、请求时间等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会诊反馈</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会诊科室、专家、专家意见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综合查询</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根据病人ID、姓名等信息可查询会诊单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widowControl/>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会诊统计</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会诊统计查询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结构化护理记录</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一般护理记录单</w:t>
            </w:r>
          </w:p>
        </w:tc>
        <w:tc>
          <w:tcPr>
            <w:tcW w:w="5254" w:type="dxa"/>
            <w:vMerge w:val="restart"/>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结构化的护理记录书写、模板按科为单位个性化设置。各科室之间模板共享化；模板采用树形结构，结构清晰；模板内容添加以</w:t>
            </w:r>
            <w:bookmarkStart w:id="2" w:name="OLE_LINK8"/>
            <w:r>
              <w:rPr>
                <w:rFonts w:hint="eastAsia" w:ascii="宋体" w:hAnsi="宋体" w:eastAsia="宋体" w:cs="宋体"/>
                <w:kern w:val="0"/>
                <w:sz w:val="24"/>
                <w:szCs w:val="24"/>
              </w:rPr>
              <w:t>文本框、下拉框、复选框</w:t>
            </w:r>
            <w:bookmarkEnd w:id="2"/>
            <w:r>
              <w:rPr>
                <w:rFonts w:hint="eastAsia" w:ascii="宋体" w:hAnsi="宋体" w:eastAsia="宋体" w:cs="宋体"/>
                <w:kern w:val="0"/>
                <w:sz w:val="24"/>
                <w:szCs w:val="24"/>
              </w:rPr>
              <w:t>、根据数据选择结果进行弹框等方式选择；编辑内容可锁定；支持声母码模本短语录入</w:t>
            </w:r>
            <w:r>
              <w:rPr>
                <w:rFonts w:hint="eastAsia" w:ascii="宋体" w:hAnsi="宋体" w:eastAsia="宋体" w:cs="宋体"/>
                <w:sz w:val="24"/>
                <w:szCs w:val="24"/>
              </w:rPr>
              <w:t>（投标人需要提供图片证明材料）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危重症患者记录单</w:t>
            </w:r>
          </w:p>
        </w:tc>
        <w:tc>
          <w:tcPr>
            <w:tcW w:w="5254" w:type="dxa"/>
            <w:vMerge w:val="continue"/>
            <w:vAlign w:val="center"/>
          </w:tcPr>
          <w:p>
            <w:pPr>
              <w:spacing w:after="0" w:line="24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特殊患者记录单</w:t>
            </w:r>
          </w:p>
        </w:tc>
        <w:tc>
          <w:tcPr>
            <w:tcW w:w="5254" w:type="dxa"/>
            <w:vMerge w:val="continue"/>
            <w:vAlign w:val="center"/>
          </w:tcPr>
          <w:p>
            <w:pPr>
              <w:spacing w:after="0" w:line="24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结构化编辑功能</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结构化护理记录模块编辑：用户可根据本科室特点编写护理记录书写模板,用户可按树形结构划分数据结构，基本结构分二级、三级，可编辑数据输入方式（文本框、下拉框、复选框、根据数据选择结果进行弹框）</w:t>
            </w:r>
            <w:r>
              <w:rPr>
                <w:rFonts w:hint="eastAsia" w:ascii="宋体" w:hAnsi="宋体" w:eastAsia="宋体" w:cs="宋体"/>
                <w:sz w:val="24"/>
                <w:szCs w:val="24"/>
              </w:rPr>
              <w:t>（投标人需要提供图片证明材料）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审核</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护士长审核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护理计划/护理路径</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护理计划模板</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护理计划以科室为单位、可自行维护；可以引用其他科室的相关计划，各科计划模板共享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护理路径</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护理路径按病情划分：如高血压、急性心力衰竭、心绞痛、脑梗死等；并按关键日划分护理路径如：入院日、手术日、出院日等并每个关键日下都有相应的时间、护理计划、护理措施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护理计划与路径快速生成</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可以导入TXT文本，快速生成护理路径与计划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其他护理文书</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护士交班报告</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录入、修改和查看各病区的交班报告。统计白班、小夜班、大夜班各个时间段的原有患者数、现有患者数、特级护理、一级护理、二级护理、三级护理、病危、病重、分娩、手术、出院、入院、预术、转入、转出、体温异常、血压异常、出入量异常、血糖异常人数。能按上述分类分别查看该类患者的床位、姓名、年龄、诊断、描述和备注。可以将体温单、护理记录单等各种表单上的数值及记录直接导入交班记录中，并提供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手术交接单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手术交接单录入、修改、打印记录手术日期、意识情况、皮肤情况、术前留置、皮肤情况、携带物品等相关情况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转科交接单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病人流转情况记录；包括：转出病区、方式、转入病区、护理级别、护理文件（护理记录单、特护记录单、医嘱单长期、临时、转科交接记录单等）、皮肤情况、留置管路的相关信息；包括产科、新生儿、血糖、血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告知书</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压力性损伤高危风险；预防高危患者跌倒/坠床；住院患者外出；压疮风险；约束具使用；跌倒；并提供自维护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同意书</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家属陪护告知；特殊药物静脉治疗；经外周中心静脉置管（PICC）；伤口清创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核查单</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术前核查单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产科护理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sz w:val="24"/>
                <w:szCs w:val="24"/>
              </w:rPr>
              <w:t>产程记录单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生产过程记录，包括孕妇体征情况、宫缩、肛门检查、胎心等.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sz w:val="24"/>
                <w:szCs w:val="24"/>
              </w:rPr>
              <w:t>分娩记录单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孕妇分娩情况记录（包括胎儿情况描述）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sz w:val="24"/>
                <w:szCs w:val="24"/>
              </w:rPr>
              <w:t>待产记录单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孕妇待产情况记录如：母亲和胎儿基本生命体征等信息。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新生儿出生记录单</w:t>
            </w:r>
          </w:p>
        </w:tc>
        <w:tc>
          <w:tcPr>
            <w:tcW w:w="5254" w:type="dxa"/>
          </w:tcPr>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对新生儿出生情况进行记录，具体表单格式参照产科要求。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新生儿护理单</w:t>
            </w:r>
          </w:p>
        </w:tc>
        <w:tc>
          <w:tcPr>
            <w:tcW w:w="5254" w:type="dxa"/>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新生儿护理记录单，并提供打印、续打功能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653" w:type="dxa"/>
            <w:vAlign w:val="center"/>
          </w:tcPr>
          <w:p>
            <w:pPr>
              <w:spacing w:after="0" w:line="240" w:lineRule="auto"/>
              <w:ind w:firstLine="7" w:firstLineChars="3"/>
              <w:jc w:val="center"/>
              <w:rPr>
                <w:rFonts w:ascii="宋体" w:hAnsi="宋体" w:eastAsia="宋体" w:cs="宋体"/>
                <w:kern w:val="0"/>
                <w:sz w:val="24"/>
                <w:szCs w:val="24"/>
              </w:rPr>
            </w:pPr>
            <w:r>
              <w:rPr>
                <w:rFonts w:hint="eastAsia" w:ascii="宋体" w:hAnsi="宋体" w:eastAsia="宋体" w:cs="宋体"/>
                <w:kern w:val="0"/>
                <w:sz w:val="24"/>
                <w:szCs w:val="24"/>
              </w:rPr>
              <w:t>引产术后观察记录单</w:t>
            </w:r>
          </w:p>
        </w:tc>
        <w:tc>
          <w:tcPr>
            <w:tcW w:w="5254" w:type="dxa"/>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引产术后记录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产程进展图</w:t>
            </w:r>
          </w:p>
        </w:tc>
        <w:tc>
          <w:tcPr>
            <w:tcW w:w="5254" w:type="dxa"/>
          </w:tcPr>
          <w:p>
            <w:pPr>
              <w:spacing w:after="0" w:line="240" w:lineRule="auto"/>
              <w:jc w:val="left"/>
              <w:rPr>
                <w:rFonts w:ascii="宋体" w:hAnsi="宋体" w:eastAsia="宋体" w:cs="宋体"/>
                <w:sz w:val="24"/>
                <w:szCs w:val="24"/>
              </w:rPr>
            </w:pPr>
            <w:r>
              <w:rPr>
                <w:rFonts w:hint="eastAsia" w:ascii="宋体" w:hAnsi="宋体" w:eastAsia="宋体" w:cs="宋体"/>
                <w:sz w:val="24"/>
                <w:szCs w:val="24"/>
              </w:rPr>
              <w:t>产程进展图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危急值管理</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临床危急值报告</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查看危急值报告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临床危急值的界限值</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根据医院要求设置危急值的界限值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报告查询</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检验报告</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查看检验报告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检查报告</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查看检查报告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文书打印</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入院须知</w:t>
            </w:r>
          </w:p>
        </w:tc>
        <w:tc>
          <w:tcPr>
            <w:tcW w:w="5254" w:type="dxa"/>
            <w:vAlign w:val="center"/>
          </w:tcPr>
          <w:p>
            <w:pPr>
              <w:spacing w:after="0" w:line="24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化验报告粘贴单</w:t>
            </w:r>
          </w:p>
        </w:tc>
        <w:tc>
          <w:tcPr>
            <w:tcW w:w="5254" w:type="dxa"/>
            <w:vAlign w:val="center"/>
          </w:tcPr>
          <w:p>
            <w:pPr>
              <w:spacing w:after="0" w:line="24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jc w:val="center"/>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文书模板维护</w:t>
            </w:r>
          </w:p>
        </w:tc>
        <w:tc>
          <w:tcPr>
            <w:tcW w:w="5254" w:type="dxa"/>
            <w:vAlign w:val="center"/>
          </w:tcPr>
          <w:p>
            <w:pPr>
              <w:spacing w:after="0" w:line="24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第三方系统支持</w:t>
            </w: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HIS</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医嘱执行结果回写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电子病历</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体征单调阅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LIS</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标本采集时间回传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院感</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相关数据回传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Merge w:val="continue"/>
            <w:vAlign w:val="center"/>
          </w:tcPr>
          <w:p>
            <w:pPr>
              <w:spacing w:after="0" w:line="240" w:lineRule="auto"/>
              <w:rPr>
                <w:rFonts w:ascii="宋体" w:hAnsi="宋体" w:eastAsia="宋体" w:cs="宋体"/>
                <w:kern w:val="0"/>
                <w:sz w:val="24"/>
                <w:szCs w:val="24"/>
              </w:rPr>
            </w:pPr>
          </w:p>
        </w:tc>
        <w:tc>
          <w:tcPr>
            <w:tcW w:w="809"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color w:val="333333"/>
                <w:sz w:val="24"/>
                <w:szCs w:val="24"/>
                <w:shd w:val="clear" w:color="auto" w:fill="FFFFFF"/>
              </w:rPr>
              <w:t>*</w:t>
            </w:r>
            <w:r>
              <w:rPr>
                <w:rFonts w:hint="eastAsia" w:ascii="宋体" w:hAnsi="宋体" w:eastAsia="宋体" w:cs="宋体"/>
                <w:kern w:val="0"/>
                <w:sz w:val="24"/>
                <w:szCs w:val="24"/>
              </w:rPr>
              <w:t>5</w:t>
            </w:r>
          </w:p>
        </w:tc>
        <w:tc>
          <w:tcPr>
            <w:tcW w:w="1653" w:type="dxa"/>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护理系统</w:t>
            </w:r>
          </w:p>
        </w:tc>
        <w:tc>
          <w:tcPr>
            <w:tcW w:w="5254" w:type="dxa"/>
            <w:vAlign w:val="center"/>
          </w:tcPr>
          <w:p>
            <w:pPr>
              <w:spacing w:after="0" w:line="240" w:lineRule="auto"/>
              <w:rPr>
                <w:rFonts w:ascii="宋体" w:hAnsi="宋体" w:eastAsia="宋体" w:cs="宋体"/>
                <w:kern w:val="0"/>
                <w:sz w:val="24"/>
                <w:szCs w:val="24"/>
              </w:rPr>
            </w:pPr>
            <w:r>
              <w:rPr>
                <w:rFonts w:hint="eastAsia" w:ascii="宋体" w:hAnsi="宋体" w:eastAsia="宋体" w:cs="宋体"/>
                <w:kern w:val="0"/>
                <w:sz w:val="24"/>
                <w:szCs w:val="24"/>
              </w:rPr>
              <w:t>平滑对接现有护理系统（需含接口费用）</w:t>
            </w:r>
          </w:p>
        </w:tc>
      </w:tr>
    </w:tbl>
    <w:p>
      <w:pPr>
        <w:spacing w:after="0" w:line="360" w:lineRule="auto"/>
        <w:ind w:left="-25" w:leftChars="-12"/>
        <w:outlineLvl w:val="1"/>
        <w:rPr>
          <w:rFonts w:ascii="宋体" w:hAnsi="宋体" w:eastAsia="宋体" w:cs="宋体"/>
          <w:sz w:val="24"/>
          <w:szCs w:val="24"/>
        </w:rPr>
      </w:pPr>
      <w:r>
        <w:rPr>
          <w:rFonts w:hint="eastAsia" w:ascii="宋体" w:hAnsi="宋体" w:eastAsia="宋体" w:cs="宋体"/>
          <w:sz w:val="24"/>
          <w:szCs w:val="24"/>
        </w:rPr>
        <w:t>（3）护理管理模块</w:t>
      </w:r>
    </w:p>
    <w:tbl>
      <w:tblPr>
        <w:tblStyle w:val="7"/>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826"/>
        <w:gridCol w:w="1793"/>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7"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项目模块</w:t>
            </w:r>
          </w:p>
        </w:tc>
        <w:tc>
          <w:tcPr>
            <w:tcW w:w="826"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序号</w:t>
            </w:r>
          </w:p>
        </w:tc>
        <w:tc>
          <w:tcPr>
            <w:tcW w:w="1793"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w:t>
            </w:r>
          </w:p>
        </w:tc>
        <w:tc>
          <w:tcPr>
            <w:tcW w:w="5116"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widowControl/>
              <w:spacing w:after="0" w:line="240" w:lineRule="auto"/>
              <w:ind w:right="260" w:rightChars="124"/>
              <w:jc w:val="center"/>
              <w:textAlignment w:val="center"/>
              <w:rPr>
                <w:rFonts w:ascii="宋体" w:hAnsi="宋体" w:eastAsia="宋体" w:cs="宋体"/>
                <w:kern w:val="0"/>
                <w:sz w:val="24"/>
                <w:szCs w:val="24"/>
              </w:rPr>
            </w:pPr>
            <w:r>
              <w:rPr>
                <w:rFonts w:hint="eastAsia" w:ascii="宋体" w:hAnsi="宋体" w:eastAsia="宋体" w:cs="宋体"/>
                <w:kern w:val="0"/>
                <w:sz w:val="24"/>
                <w:szCs w:val="24"/>
              </w:rPr>
              <w:t>权限管理</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系统登录安全管理</w:t>
            </w:r>
          </w:p>
        </w:tc>
        <w:tc>
          <w:tcPr>
            <w:tcW w:w="5116" w:type="dxa"/>
            <w:vAlign w:val="center"/>
          </w:tcPr>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护理管理用户可采用统一用户、也可独立设置用户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权限分级管理</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根据功能实现管理，基本分为护士、护士长、护理部三级权限。可以根据医院要求具体细分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科室管理</w:t>
            </w:r>
          </w:p>
        </w:tc>
        <w:tc>
          <w:tcPr>
            <w:tcW w:w="5116" w:type="dxa"/>
            <w:vAlign w:val="center"/>
          </w:tcPr>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管理用户可根据院内实际情况进行科室添加以及设置用户管理科室涵盖部门、科室管理分布、科室管理人员、科室人员分配等。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center"/>
              <w:rPr>
                <w:rStyle w:val="13"/>
                <w:rFonts w:hint="default"/>
                <w:color w:val="auto"/>
                <w:kern w:val="0"/>
              </w:rPr>
            </w:pPr>
            <w:r>
              <w:rPr>
                <w:rFonts w:hint="eastAsia" w:ascii="宋体" w:hAnsi="宋体" w:eastAsia="宋体" w:cs="宋体"/>
                <w:kern w:val="0"/>
                <w:sz w:val="24"/>
                <w:szCs w:val="24"/>
              </w:rPr>
              <w:t>部门管理</w:t>
            </w:r>
          </w:p>
        </w:tc>
        <w:tc>
          <w:tcPr>
            <w:tcW w:w="5116" w:type="dxa"/>
            <w:vAlign w:val="center"/>
          </w:tcPr>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管理用户可根据院内实际情况进行部门添加以及设置用户管理部门管理分布、部门管理人员、部门管理人员分配等。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407" w:type="dxa"/>
            <w:vMerge w:val="restart"/>
            <w:vAlign w:val="center"/>
          </w:tcPr>
          <w:p>
            <w:pPr>
              <w:spacing w:after="0" w:line="240" w:lineRule="auto"/>
              <w:jc w:val="center"/>
              <w:rPr>
                <w:rFonts w:ascii="宋体" w:hAnsi="宋体" w:eastAsia="宋体" w:cs="宋体"/>
                <w:kern w:val="0"/>
                <w:sz w:val="24"/>
                <w:szCs w:val="24"/>
              </w:rPr>
            </w:pPr>
            <w:r>
              <w:rPr>
                <w:rStyle w:val="13"/>
                <w:rFonts w:hint="default"/>
                <w:color w:val="auto"/>
                <w:kern w:val="0"/>
              </w:rPr>
              <w:t>护理不良事件</w:t>
            </w:r>
          </w:p>
        </w:tc>
        <w:tc>
          <w:tcPr>
            <w:tcW w:w="826"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不良事件管理</w:t>
            </w:r>
          </w:p>
        </w:tc>
        <w:tc>
          <w:tcPr>
            <w:tcW w:w="5116" w:type="dxa"/>
            <w:vAlign w:val="center"/>
          </w:tcPr>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sz w:val="24"/>
                <w:szCs w:val="24"/>
              </w:rPr>
              <w:t>护理给药缺陷上报、更新、删除、导出、打印、审核、回复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sz w:val="24"/>
                <w:szCs w:val="24"/>
              </w:rPr>
              <w:t>皮肤压疮的上报、更新、删除、导出、打印、审核、回复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sz w:val="24"/>
                <w:szCs w:val="24"/>
              </w:rPr>
              <w:t>管路滑脱的上报、更新、删除、导出、打印、审核、回复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跌倒/坠床的上报、更新、删除、导出、打印、审核、回复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烫伤/冻伤的上报、更新、删除、导出、打印、审核、回复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sz w:val="24"/>
                <w:szCs w:val="24"/>
              </w:rPr>
              <w:t>输液相关事件的上报、更新、删除、导出、打印、审核、回复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sz w:val="24"/>
                <w:szCs w:val="24"/>
              </w:rPr>
              <w:t>输血相关事件的上报、更新、删除、导出、打印、审核、回复</w:t>
            </w:r>
          </w:p>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不良事件拦截的上报、更新、删除、导出、打印、审核、回复</w:t>
            </w:r>
          </w:p>
          <w:p>
            <w:pPr>
              <w:widowControl/>
              <w:spacing w:after="0" w:line="240" w:lineRule="auto"/>
              <w:textAlignment w:val="top"/>
              <w:rPr>
                <w:rFonts w:ascii="宋体" w:hAnsi="宋体" w:eastAsia="宋体" w:cs="宋体"/>
                <w:kern w:val="0"/>
                <w:sz w:val="24"/>
                <w:szCs w:val="24"/>
              </w:rPr>
            </w:pPr>
            <w:r>
              <w:rPr>
                <w:rFonts w:hint="eastAsia" w:ascii="宋体" w:hAnsi="宋体" w:eastAsia="宋体" w:cs="宋体"/>
                <w:kern w:val="0"/>
                <w:sz w:val="24"/>
                <w:szCs w:val="24"/>
              </w:rPr>
              <w:t>其他类事件（可疑医疗器械报告单、医务人员锐器伤登记表、医务人员血液/体液暴露接触登记表等）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1407" w:type="dxa"/>
            <w:vMerge w:val="continue"/>
            <w:vAlign w:val="center"/>
          </w:tcPr>
          <w:p>
            <w:pPr>
              <w:spacing w:after="0" w:line="240" w:lineRule="auto"/>
              <w:jc w:val="center"/>
              <w:rPr>
                <w:rStyle w:val="13"/>
                <w:rFonts w:hint="default"/>
                <w:color w:val="auto"/>
                <w:kern w:val="0"/>
              </w:rPr>
            </w:pPr>
          </w:p>
        </w:tc>
        <w:tc>
          <w:tcPr>
            <w:tcW w:w="826"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不良事件查询</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根据不同权限可实现的功能也不同，如：护士在不良事件管理中只能看到本人上报的事件、以及护理部发布给该科室的事件</w:t>
            </w:r>
          </w:p>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不良事件筛选——根据不良事件表单状态（已提交、未提交）、类型、上报时间（指定日期或日期区间）、上报人、审核状态等条件快速筛选；不良事件浏览界面显示关键信息，可一键跳转到不良事件详细内容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407" w:type="dxa"/>
            <w:vMerge w:val="continue"/>
            <w:vAlign w:val="center"/>
          </w:tcPr>
          <w:p>
            <w:pPr>
              <w:spacing w:after="0" w:line="240" w:lineRule="auto"/>
              <w:jc w:val="center"/>
              <w:rPr>
                <w:rStyle w:val="13"/>
                <w:rFonts w:hint="default"/>
                <w:color w:val="auto"/>
                <w:kern w:val="0"/>
              </w:rPr>
            </w:pPr>
          </w:p>
        </w:tc>
        <w:tc>
          <w:tcPr>
            <w:tcW w:w="826"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不良事件内容</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根据事件不同有不同的个性化项目（可按要求个性化定制）针对护理隐患（未发生），护理不良事件（已发生）：护理给药缺陷皮肤压疮、管路滑脱、跌倒/坠床、烫伤/冻伤、分娩意外、非计划性拔管、输液相关事件、意外伤害事件-自杀、护理用具相关事件、不良事件拦截的上报；事件经过描述、护士长审核——整改措施和结果、护理部审核——意见及改进措施</w:t>
            </w:r>
          </w:p>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未填完的事件，可暂时保存；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不良事件预警与智能设置管理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不良事件预警根据护理规则进行事件预警设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院内不良事件报表生成与打印</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生成院内的不良事件表单、可打印、可导出Word、Excel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各类不良事件上报的共性统计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按表单类型、日期、科室、病房统计各事件的共性数据，如：上报人（当事人、非当事人）、工作年限、职称、患者年龄段、发生的24小时时间段分析；统计提供例数、百分比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各类不良事件上报的个性统计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每个事件的每一个小项都可以统计、统计出每个不良事件的个性部分如：跌倒/坠床发生率及伤害严重程度病房统计（统计中包括指标名称、计算公式——分子/分母、各科室数、全院总数）跌倒/坠床发生率及伤害严重程度病房统计（统计中包括指标名称、计算公式——分子/分母、1-12月统计、四个季度统计、全年统计）；发生地点、跌倒/跌落时患者的状态、发生原因、跌倒/跌落造成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不良事件的数量统计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统计各科室的、全院的、各事件不同事件段的数量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不良事件各种图表导出与统计分析</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所有统计可单项或多项导出；并生成饼状图、柱形图、曲线图；同一页面支持多个图形；图形数据显示可以组合（数、百分比等）统计提供例数、百分比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不良事件比较分析</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同科室各不良事件发生例数比较，可按时间比较；同一时间段不同科室的发生例比较；同一事件小项目的不用科室比较；同一事件不同小项科室比较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widowControl/>
              <w:spacing w:after="0" w:line="240" w:lineRule="auto"/>
              <w:jc w:val="center"/>
              <w:textAlignment w:val="center"/>
              <w:rPr>
                <w:rFonts w:ascii="宋体" w:hAnsi="宋体" w:eastAsia="宋体" w:cs="宋体"/>
                <w:kern w:val="0"/>
                <w:sz w:val="24"/>
                <w:szCs w:val="24"/>
              </w:rPr>
            </w:pPr>
            <w:r>
              <w:rPr>
                <w:rStyle w:val="13"/>
                <w:rFonts w:hint="default"/>
                <w:color w:val="auto"/>
                <w:kern w:val="0"/>
              </w:rPr>
              <w:t>护理质量控制</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评价表设置</w:t>
            </w:r>
          </w:p>
        </w:tc>
        <w:tc>
          <w:tcPr>
            <w:tcW w:w="5116" w:type="dxa"/>
            <w:vAlign w:val="center"/>
          </w:tcPr>
          <w:p>
            <w:pPr>
              <w:numPr>
                <w:ilvl w:val="0"/>
                <w:numId w:val="4"/>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检查表单列类型设置，数据类型包括（不限于，用户可自定义）文本、单选项、护士、患者、时间、扣分项等；</w:t>
            </w:r>
          </w:p>
          <w:p>
            <w:pPr>
              <w:numPr>
                <w:ilvl w:val="0"/>
                <w:numId w:val="4"/>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表单设置，设置表单类型统一模板，如：24小时尿蛋白定性定量技术操作考核评分标准、CVC维护技术操作考核评分标准、帮助患者轮椅移动护理操作考核评分标准、保护性约束技术操作考核评等都属于技术操作规范及考核标准；小量不保留灌肠操作相关知识、更换胸腔闭式引流瓶技术操作考核相关知识、开塞露110ml灌肠技术操作相关知识等属于技术操作规范及相关知识；基础护理质量评分表、急救管理质量评分表、消毒隔离质量评分表、药品管理质量评分表等属于质量评分表；根据技术操作规范及考核标准、技术操作规范及相关知识、质量评分表三类样表建立模板。再新建该类检查表可直接选择模板样式；</w:t>
            </w:r>
          </w:p>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3.添加表单：选择模板样式建产表单，可设置表单名称、护理级别、表单内容等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评价表权重设置</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所有表单在添加时可设置项目的权重比；可根据需求自维护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检查小组管理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检查小组分组；小组成员的设置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定期检查任务派发</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定期检查任务派发，护理部为检查小组制定检查任务；包括：指定科室、病房、护士、表单、开始时间、结束时间、派发小组、派发类型，如：日常检查、夜班、科护士长检查等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科室自查</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科室可根据本科情况，进行自查，可添加自查表单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检查记录的检索</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检查记录可根据内容、类型、时间、检查人进行快速检索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检查记录的浏览</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检查记录查询浏览界面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持续改进措施</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根据检查出的问题，可以进行PDCA全程跟踪管理，及总结出半年或一个季度为期限进行一个重大问题FOCUS-PDCA持续质量改进的分析；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检查结果导出支持打印</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检查表可以到处Word；可打印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检查结果图表统计分析</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检查结果分析图；饼形图、柱形、曲线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评价表与责任人关联管理</w:t>
            </w:r>
          </w:p>
        </w:tc>
        <w:tc>
          <w:tcPr>
            <w:tcW w:w="5116" w:type="dxa"/>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能够根据用户账号、用户权限等信息，进行评价表单与责任人关联管理。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评价表与岗位管理</w:t>
            </w:r>
          </w:p>
        </w:tc>
        <w:tc>
          <w:tcPr>
            <w:tcW w:w="5116" w:type="dxa"/>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通过权限设置管理能够进行评价表与岗位之间相对应关系进行管理。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移动端设置检查内容</w:t>
            </w:r>
          </w:p>
        </w:tc>
        <w:tc>
          <w:tcPr>
            <w:tcW w:w="5116" w:type="dxa"/>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能够在移动设备端自定义检查内容选项以及选项内容。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移动端设置检查记录</w:t>
            </w:r>
          </w:p>
        </w:tc>
        <w:tc>
          <w:tcPr>
            <w:tcW w:w="5116" w:type="dxa"/>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能够将检查记录保存到移动设备终端，并能够生成相应检查表单。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移动端检查记录备注与加注</w:t>
            </w:r>
          </w:p>
        </w:tc>
        <w:tc>
          <w:tcPr>
            <w:tcW w:w="5116" w:type="dxa"/>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能够根检查记录进行备注、加注添加、修改、删除等操作。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sz w:val="24"/>
                <w:szCs w:val="24"/>
              </w:rPr>
              <w:t>护理人力资源</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护士档案维护</w:t>
            </w:r>
          </w:p>
        </w:tc>
        <w:tc>
          <w:tcPr>
            <w:tcW w:w="5116" w:type="dxa"/>
            <w:vAlign w:val="center"/>
          </w:tcPr>
          <w:p>
            <w:pPr>
              <w:numPr>
                <w:ilvl w:val="0"/>
                <w:numId w:val="5"/>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护理人员档案建立、注销、修改；</w:t>
            </w:r>
          </w:p>
          <w:p>
            <w:pPr>
              <w:numPr>
                <w:ilvl w:val="0"/>
                <w:numId w:val="5"/>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档案分类：基本信息、工作信息、学习信息、其他信息</w:t>
            </w:r>
          </w:p>
          <w:p>
            <w:pPr>
              <w:numPr>
                <w:ilvl w:val="0"/>
                <w:numId w:val="5"/>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所有分类、分类下的项目、项目中的值、分类项目的数据类型</w:t>
            </w:r>
          </w:p>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4.提供添加项目工具条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widowControl/>
              <w:spacing w:after="0" w:line="240" w:lineRule="auto"/>
              <w:jc w:val="center"/>
              <w:textAlignment w:val="center"/>
              <w:rPr>
                <w:rStyle w:val="13"/>
                <w:rFonts w:hint="default"/>
                <w:color w:val="auto"/>
                <w:kern w:val="0"/>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护士档案检索</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信息查询条件的自定义，可添加所有护士档案中的项目；显示内容可自定义，可添加所有护士档案中的项目；分页显示；每页显示条目可调10、15、20、25、30等；显示筛选的总条数、当前页码、当前条数；提供下一页、上一页、首页、最后页的快捷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widowControl/>
              <w:spacing w:after="0" w:line="240" w:lineRule="auto"/>
              <w:jc w:val="center"/>
              <w:textAlignment w:val="center"/>
              <w:rPr>
                <w:rStyle w:val="13"/>
                <w:rFonts w:hint="default"/>
                <w:color w:val="auto"/>
                <w:kern w:val="0"/>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护士密码管理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可以为管理系统重新设置单独登陆密码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widowControl/>
              <w:spacing w:after="0" w:line="240" w:lineRule="auto"/>
              <w:jc w:val="center"/>
              <w:textAlignment w:val="center"/>
              <w:rPr>
                <w:rStyle w:val="13"/>
                <w:rFonts w:hint="default"/>
                <w:color w:val="auto"/>
                <w:kern w:val="0"/>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字典管理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档案中所有项目可自维护、以列表形式显示（直观）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人事关系信息的录入、查看与日常维护</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人事关系档案的建立、查看、修改；功能同其他档案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基本信息的录入、查看与日常维护</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护士基本信息：性别、民族、身份证号、联系方式、出生日期、年龄、身高、照片、籍贯、住址等相关信息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工作信息的录入、查看与日常维护</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护士工作信息：工号、姓名、权限、层级、科室、病区、职务、职称、执照编号、执照有效期等相关的工作信息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学习信息、经历项的的录入、查看与日常维护</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记录院内学习、院外学习、培训、考核等相关经历项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信息统计</w:t>
            </w:r>
          </w:p>
        </w:tc>
        <w:tc>
          <w:tcPr>
            <w:tcW w:w="5116" w:type="dxa"/>
            <w:vAlign w:val="center"/>
          </w:tcPr>
          <w:p>
            <w:pPr>
              <w:numPr>
                <w:ilvl w:val="0"/>
                <w:numId w:val="6"/>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护士基本信息统计按档案的项目统计全部护理人员的信息、统计数据可生成图表：柱形、饼状、曲线、环形；统计图显示可同时两种图形显示、并显示多个科室数据；图形可直接导出、统计数据可生成Excel</w:t>
            </w:r>
          </w:p>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2.统计数据显示数量、科百分比、院百分比；所有统计项目可单选、可多选；每个项目下的科室可单选、可多选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护士离职统计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统计离职护士的性别比重、工作年限（提供多个年区间）、学历、编制等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人员分配表</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全院护理人员分配表统计、普通病房护理人员分配表、监护室护理人员分配表、急诊护理人员分配表、门诊护理人员分配表、手术室护理人员分配表、供应室护理人员分配表、外围护理人员分配表、护理部护理人员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全院护理人员统计</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统计全院的护理人员分配表：统计护士总数、床位数、在编护士、派遣护士、床护比等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专科护士统计</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统计各科室的专科护士数量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护理日常管理</w:t>
            </w:r>
          </w:p>
        </w:tc>
        <w:tc>
          <w:tcPr>
            <w:tcW w:w="5116" w:type="dxa"/>
            <w:vAlign w:val="center"/>
          </w:tcPr>
          <w:p>
            <w:pPr>
              <w:widowControl/>
              <w:spacing w:after="0" w:line="240" w:lineRule="auto"/>
              <w:textAlignment w:val="top"/>
              <w:rPr>
                <w:rFonts w:ascii="宋体" w:hAnsi="宋体" w:eastAsia="宋体" w:cs="宋体"/>
                <w:sz w:val="24"/>
                <w:szCs w:val="24"/>
              </w:rPr>
            </w:pPr>
            <w:r>
              <w:rPr>
                <w:rFonts w:hint="eastAsia" w:ascii="宋体" w:hAnsi="宋体" w:eastAsia="宋体" w:cs="宋体"/>
                <w:sz w:val="24"/>
                <w:szCs w:val="24"/>
              </w:rPr>
              <w:t>请假审批、查看；会议通知、查看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表单统计数据导出Excel文档</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所有信息、统计数据都可以导出Excel文档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表单统计数据图表统计分析</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所有统计数据可生成图形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在线考试及培训</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考题分类管理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按用户指定的试题分类管理考题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新考题录入</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新试题的录入，包括试题类型、分类、考核层级、试题内容等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考题更新与维护</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用户可自行维护考题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考题类型管理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用户可自定义考题类型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创建考试</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添加考试，包括：考试标题、考试类型、使用范围、时长（答题时间）、参加考试时间、试题类型、考试对象、每种题型的比例、总分、权重等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考试提醒</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创建后的考试，系统自动发送消息通知考核对象，通知提醒其考核时间及内容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成绩查询</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试卷提交后，系统自动阅卷。生成成绩单；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下达通知或考试计划</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管理人员可下达考试通知，指定考试计划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查看通知</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查看通知消息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护士在线考试</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护士登陆系统后她需要参加的考试会有醒目提醒；在考试指定日期，可在线完成考试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护士自行模拟考试</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护士可以在系统做自行组题进行学习；并可自行出卷进行模拟考试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培训资料上传与下载</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在线的试题资料可下载上传；集体权限根据用户要求设置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成绩统计分析</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统计最高分、最低分、平均分、各分数线人数、存在问题、原因分析、改进措施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题目正确率统计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根据考试结果统计考试人员知识点薄弱点，方便护理管理者做出正确的培训计划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学习园地</w:t>
            </w:r>
          </w:p>
        </w:tc>
        <w:tc>
          <w:tcPr>
            <w:tcW w:w="5116" w:type="dxa"/>
            <w:vAlign w:val="center"/>
          </w:tcPr>
          <w:p>
            <w:pPr>
              <w:numPr>
                <w:ilvl w:val="0"/>
                <w:numId w:val="7"/>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护理管理者上传各类学习资料，护士可以在线学习</w:t>
            </w:r>
          </w:p>
          <w:p>
            <w:pPr>
              <w:numPr>
                <w:ilvl w:val="0"/>
                <w:numId w:val="7"/>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上传材料支持文本、图片、视频</w:t>
            </w:r>
          </w:p>
          <w:p>
            <w:pPr>
              <w:numPr>
                <w:ilvl w:val="0"/>
                <w:numId w:val="7"/>
              </w:numPr>
              <w:spacing w:after="0" w:line="240" w:lineRule="auto"/>
              <w:textAlignment w:val="top"/>
              <w:rPr>
                <w:rFonts w:ascii="宋体" w:hAnsi="宋体" w:eastAsia="宋体" w:cs="宋体"/>
                <w:sz w:val="24"/>
                <w:szCs w:val="24"/>
              </w:rPr>
            </w:pPr>
            <w:r>
              <w:rPr>
                <w:rFonts w:hint="eastAsia" w:ascii="宋体" w:hAnsi="宋体" w:eastAsia="宋体" w:cs="宋体"/>
                <w:sz w:val="24"/>
                <w:szCs w:val="24"/>
              </w:rPr>
              <w:t>记录统计学习资料的学习者、学习时长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407" w:type="dxa"/>
            <w:vMerge w:val="restart"/>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sz w:val="24"/>
                <w:szCs w:val="24"/>
              </w:rPr>
              <w:t>护士长手册</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工作计划</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护理部、护士长月、季度、年度计划，提供固定模板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护理工作总结</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护理部、护士长月、季度、年度护理工作总结，提供固定模板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工作检查</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上级部门检查问题反馈及持续改进措施：按月统计上级部门质控检查问题反馈及持续改进措施。包括：部门、检查人、问题描述、原因分析、改进措施；月护理质量控制检查：质量检查任务查看结果统计分析包括:检查项目、内容、病房、不合格数量、护士相关信息、问题、原因分析、改进措施、复查结果跟踪；质控汇总：按月汇总质量反馈及持续改进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Merge w:val="restart"/>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Merge w:val="restart"/>
            <w:vAlign w:val="center"/>
          </w:tcPr>
          <w:p>
            <w:pPr>
              <w:widowControl/>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教学培训</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护士分层培训记录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Merge w:val="continue"/>
            <w:vAlign w:val="center"/>
          </w:tcPr>
          <w:p>
            <w:pPr>
              <w:widowControl/>
              <w:spacing w:after="0" w:line="240" w:lineRule="auto"/>
              <w:jc w:val="center"/>
              <w:textAlignment w:val="center"/>
              <w:rPr>
                <w:rFonts w:ascii="宋体" w:hAnsi="宋体" w:eastAsia="宋体" w:cs="宋体"/>
                <w:kern w:val="0"/>
                <w:sz w:val="24"/>
                <w:szCs w:val="24"/>
              </w:rPr>
            </w:pPr>
          </w:p>
        </w:tc>
        <w:tc>
          <w:tcPr>
            <w:tcW w:w="1793" w:type="dxa"/>
            <w:vMerge w:val="continue"/>
            <w:vAlign w:val="center"/>
          </w:tcPr>
          <w:p>
            <w:pPr>
              <w:widowControl/>
              <w:spacing w:after="0" w:line="240" w:lineRule="auto"/>
              <w:jc w:val="center"/>
              <w:textAlignment w:val="top"/>
              <w:rPr>
                <w:rFonts w:ascii="宋体" w:hAnsi="宋体" w:eastAsia="宋体" w:cs="宋体"/>
                <w:sz w:val="24"/>
                <w:szCs w:val="24"/>
              </w:rPr>
            </w:pP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护士业务学习记录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Merge w:val="continue"/>
            <w:vAlign w:val="center"/>
          </w:tcPr>
          <w:p>
            <w:pPr>
              <w:widowControl/>
              <w:spacing w:after="0" w:line="240" w:lineRule="auto"/>
              <w:jc w:val="center"/>
              <w:textAlignment w:val="center"/>
              <w:rPr>
                <w:rFonts w:ascii="宋体" w:hAnsi="宋体" w:eastAsia="宋体" w:cs="宋体"/>
                <w:kern w:val="0"/>
                <w:sz w:val="24"/>
                <w:szCs w:val="24"/>
              </w:rPr>
            </w:pPr>
          </w:p>
        </w:tc>
        <w:tc>
          <w:tcPr>
            <w:tcW w:w="1793" w:type="dxa"/>
            <w:vMerge w:val="continue"/>
            <w:vAlign w:val="center"/>
          </w:tcPr>
          <w:p>
            <w:pPr>
              <w:widowControl/>
              <w:spacing w:after="0" w:line="240" w:lineRule="auto"/>
              <w:jc w:val="center"/>
              <w:textAlignment w:val="top"/>
              <w:rPr>
                <w:rFonts w:ascii="宋体" w:hAnsi="宋体" w:eastAsia="宋体" w:cs="宋体"/>
                <w:sz w:val="24"/>
                <w:szCs w:val="24"/>
              </w:rPr>
            </w:pP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护理查房记录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Merge w:val="continue"/>
            <w:vAlign w:val="center"/>
          </w:tcPr>
          <w:p>
            <w:pPr>
              <w:widowControl/>
              <w:spacing w:after="0" w:line="240" w:lineRule="auto"/>
              <w:jc w:val="center"/>
              <w:textAlignment w:val="center"/>
              <w:rPr>
                <w:rFonts w:ascii="宋体" w:hAnsi="宋体" w:eastAsia="宋体" w:cs="宋体"/>
                <w:kern w:val="0"/>
                <w:sz w:val="24"/>
                <w:szCs w:val="24"/>
              </w:rPr>
            </w:pPr>
          </w:p>
        </w:tc>
        <w:tc>
          <w:tcPr>
            <w:tcW w:w="1793" w:type="dxa"/>
            <w:vMerge w:val="continue"/>
            <w:vAlign w:val="center"/>
          </w:tcPr>
          <w:p>
            <w:pPr>
              <w:widowControl/>
              <w:spacing w:after="0" w:line="240" w:lineRule="auto"/>
              <w:jc w:val="center"/>
              <w:textAlignment w:val="center"/>
              <w:rPr>
                <w:rStyle w:val="13"/>
                <w:rFonts w:hint="default"/>
                <w:color w:val="auto"/>
                <w:kern w:val="0"/>
              </w:rPr>
            </w:pP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护士分层培训理论考核总结、护士技能培训考核总结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护士长权限分类</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根据用户要求定义；基本分为病区护士长、科护士长、教学护士长；不同权限实现的功能有区分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智能人力排班</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护士排班</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按科室、病区进行每周的排班；显示人员的加班情况、休假天数、欠休情况；智能化的排班，人员排序能直接拖动人员表格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上周班次与本周班次同时显示，便于排班比较</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排班界面同时显示本周与上周信息；方便用户对比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可选择全天班、半天班、小时班、组合班进行排班</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系统班次适合多种形式：全天、半天、小时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所有的班次支持声母码检索</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支持声母码检索快速选择班次，减少用户查找时间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当首次排班完成，根据上次排班表可进行快捷排班</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本周排班情况都是复制上周排班信息，方便用户本周班次调整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护士列表可进行拖拽改变人员顺序</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智能化的排班，人员和班次表格可以直接拖拽，就可以完成护士的交叉排班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夜班有特殊标记，一目了然</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特别班次可做颜色区分，使用户一目了然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导出Excel排班表</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排班表可导出Excel文档中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自动生成各类图表统计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排班数据统计可生成图表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护士班次统计</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统计护士的排班情况、包括休假情况、各种班的出勤数量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班次内容管理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相应的权限可管理班次名称、类型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班次字典管理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所有班次用户可自维护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班次所属科室管理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班次所属科室分配管理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班次申请管理</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针对一些特殊科室的特殊班次，科室可提交申请，护理部通过后便可进行该班次排班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793" w:type="dxa"/>
            <w:vAlign w:val="center"/>
          </w:tcPr>
          <w:p>
            <w:pPr>
              <w:spacing w:after="0" w:line="240" w:lineRule="auto"/>
              <w:jc w:val="center"/>
              <w:textAlignment w:val="top"/>
              <w:rPr>
                <w:rFonts w:ascii="宋体" w:hAnsi="宋体" w:eastAsia="宋体" w:cs="宋体"/>
                <w:sz w:val="24"/>
                <w:szCs w:val="24"/>
              </w:rPr>
            </w:pPr>
            <w:r>
              <w:rPr>
                <w:rFonts w:hint="eastAsia" w:ascii="宋体" w:hAnsi="宋体" w:eastAsia="宋体" w:cs="宋体"/>
                <w:sz w:val="24"/>
                <w:szCs w:val="24"/>
              </w:rPr>
              <w:t>与护理管理所有系统实现数据同步</w:t>
            </w:r>
          </w:p>
        </w:tc>
        <w:tc>
          <w:tcPr>
            <w:tcW w:w="5116" w:type="dxa"/>
            <w:vAlign w:val="center"/>
          </w:tcPr>
          <w:p>
            <w:pPr>
              <w:spacing w:after="0" w:line="240" w:lineRule="auto"/>
              <w:textAlignment w:val="top"/>
              <w:rPr>
                <w:rFonts w:ascii="宋体" w:hAnsi="宋体" w:eastAsia="宋体" w:cs="宋体"/>
                <w:sz w:val="24"/>
                <w:szCs w:val="24"/>
              </w:rPr>
            </w:pPr>
            <w:r>
              <w:rPr>
                <w:rFonts w:hint="eastAsia" w:ascii="宋体" w:hAnsi="宋体" w:eastAsia="宋体" w:cs="宋体"/>
                <w:sz w:val="24"/>
                <w:szCs w:val="24"/>
              </w:rPr>
              <w:t>人员数据来源于人力资源、白班表自动生成。月末提交的排班数据可共享给其他系统，如：出勤情况、绩效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spacing w:after="0" w:line="240" w:lineRule="auto"/>
              <w:jc w:val="center"/>
              <w:rPr>
                <w:rFonts w:ascii="宋体" w:hAnsi="宋体" w:eastAsia="宋体" w:cs="宋体"/>
                <w:kern w:val="0"/>
                <w:sz w:val="24"/>
                <w:szCs w:val="24"/>
              </w:rPr>
            </w:pPr>
            <w:r>
              <w:rPr>
                <w:rFonts w:hint="eastAsia" w:ascii="宋体" w:hAnsi="宋体" w:eastAsia="宋体" w:cs="宋体"/>
                <w:kern w:val="0"/>
                <w:sz w:val="24"/>
                <w:szCs w:val="24"/>
              </w:rPr>
              <w:t>健康宣教</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center"/>
              <w:rPr>
                <w:rStyle w:val="13"/>
                <w:rFonts w:hint="default"/>
                <w:color w:val="auto"/>
                <w:kern w:val="0"/>
              </w:rPr>
            </w:pPr>
            <w:r>
              <w:rPr>
                <w:rFonts w:hint="eastAsia" w:ascii="宋体" w:hAnsi="宋体" w:eastAsia="宋体" w:cs="宋体"/>
                <w:kern w:val="0"/>
                <w:sz w:val="24"/>
                <w:szCs w:val="24"/>
              </w:rPr>
              <w:t>健康教育分类</w:t>
            </w: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完成健康教育的分类管理，按用药、膳食、疾病类、时间类等进行分类（具体类型按用户要求定义）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center"/>
              <w:rPr>
                <w:rStyle w:val="13"/>
                <w:rFonts w:hint="default"/>
                <w:color w:val="auto"/>
                <w:kern w:val="0"/>
              </w:rPr>
            </w:pPr>
            <w:r>
              <w:rPr>
                <w:rFonts w:hint="eastAsia" w:ascii="宋体" w:hAnsi="宋体" w:eastAsia="宋体" w:cs="宋体"/>
                <w:kern w:val="0"/>
                <w:sz w:val="24"/>
                <w:szCs w:val="24"/>
              </w:rPr>
              <w:t>健康教育管理</w:t>
            </w: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1.提供健康教育内容的上传、浏览、修改、预览和打印</w:t>
            </w:r>
          </w:p>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2.根据病人的诊断，可对住院须知信息进行宣教并记录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center"/>
              <w:rPr>
                <w:rStyle w:val="13"/>
                <w:rFonts w:hint="default"/>
                <w:color w:val="auto"/>
                <w:kern w:val="0"/>
              </w:rPr>
            </w:pPr>
            <w:r>
              <w:rPr>
                <w:rFonts w:hint="eastAsia" w:ascii="宋体" w:hAnsi="宋体" w:eastAsia="宋体" w:cs="宋体"/>
                <w:kern w:val="0"/>
                <w:sz w:val="24"/>
                <w:szCs w:val="24"/>
              </w:rPr>
              <w:t>健康教育知识库</w:t>
            </w: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1.建立健康教育知识库，</w:t>
            </w:r>
            <w:r>
              <w:rPr>
                <w:rFonts w:hint="eastAsia" w:ascii="宋体" w:hAnsi="宋体" w:eastAsia="宋体" w:cs="宋体"/>
                <w:sz w:val="24"/>
                <w:szCs w:val="24"/>
              </w:rPr>
              <w:t>包含用药、膳食、疾病等相关宣教知识</w:t>
            </w:r>
          </w:p>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2.健康宣教内容支持多种格式（PPT/视频/文本等）的文件形式，并支持该文件的上传和下载</w:t>
            </w:r>
          </w:p>
          <w:p>
            <w:pPr>
              <w:spacing w:after="0" w:line="240" w:lineRule="auto"/>
              <w:jc w:val="left"/>
              <w:rPr>
                <w:rFonts w:ascii="宋体" w:hAnsi="宋体" w:eastAsia="宋体" w:cs="宋体"/>
                <w:kern w:val="0"/>
                <w:sz w:val="24"/>
                <w:szCs w:val="24"/>
              </w:rPr>
            </w:pPr>
            <w:r>
              <w:rPr>
                <w:rFonts w:hint="eastAsia" w:ascii="宋体" w:hAnsi="宋体" w:eastAsia="宋体" w:cs="宋体"/>
                <w:sz w:val="24"/>
                <w:szCs w:val="24"/>
              </w:rPr>
              <w:t>3.系统提供给用户对于上述知识库进行文件管理的权限和功能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center"/>
              <w:rPr>
                <w:rStyle w:val="13"/>
                <w:rFonts w:hint="default"/>
                <w:color w:val="auto"/>
                <w:kern w:val="0"/>
              </w:rPr>
            </w:pPr>
            <w:r>
              <w:rPr>
                <w:rFonts w:hint="eastAsia" w:ascii="宋体" w:hAnsi="宋体" w:eastAsia="宋体" w:cs="宋体"/>
                <w:kern w:val="0"/>
                <w:sz w:val="24"/>
                <w:szCs w:val="24"/>
              </w:rPr>
              <w:t>患者浏览主页面</w:t>
            </w: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关注度、浏览高的宣教材料推荐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患者宣教后评价</w:t>
            </w:r>
          </w:p>
        </w:tc>
        <w:tc>
          <w:tcPr>
            <w:tcW w:w="5116" w:type="dxa"/>
            <w:vAlign w:val="center"/>
          </w:tcPr>
          <w:p>
            <w:pPr>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对宣教内容、及知晓度评价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restart"/>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护理制度建设</w:t>
            </w: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制度体系建设</w:t>
            </w:r>
          </w:p>
        </w:tc>
        <w:tc>
          <w:tcPr>
            <w:tcW w:w="5116" w:type="dxa"/>
            <w:vAlign w:val="center"/>
          </w:tcPr>
          <w:p>
            <w:pPr>
              <w:pStyle w:val="14"/>
              <w:jc w:val="left"/>
              <w:rPr>
                <w:rFonts w:ascii="宋体" w:hAnsi="宋体" w:cs="宋体"/>
                <w:kern w:val="0"/>
                <w:szCs w:val="24"/>
              </w:rPr>
            </w:pPr>
            <w:r>
              <w:rPr>
                <w:rFonts w:hint="eastAsia" w:ascii="宋体" w:hAnsi="宋体" w:cs="宋体"/>
                <w:kern w:val="0"/>
                <w:szCs w:val="24"/>
              </w:rPr>
              <w:t>要求根据医院的护理规范，建立制度体系结构，如护理法规体系、专科制度体系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文档管理</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可在制度体系中增加、维护各相应的制度文档，并可进行版本控制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文档变更记录</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可查看文档的变更历史</w:t>
            </w:r>
          </w:p>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可对体系文件修订、审核、试行等过程产生时间线记录。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文档权限控制</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用于控制文档的查看、下载、修改权限，可以给指定的人或者组织分配相应的权限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文档在线浏览</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用户可以直接在线浏览word、excel、ppt、pdf文档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793" w:type="dxa"/>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文档阅读记录</w:t>
            </w:r>
          </w:p>
        </w:tc>
        <w:tc>
          <w:tcPr>
            <w:tcW w:w="5116" w:type="dxa"/>
            <w:vAlign w:val="center"/>
          </w:tcPr>
          <w:p>
            <w:pPr>
              <w:widowControl/>
              <w:spacing w:after="0" w:line="240" w:lineRule="auto"/>
              <w:textAlignment w:val="center"/>
              <w:rPr>
                <w:rFonts w:ascii="宋体" w:hAnsi="宋体" w:eastAsia="宋体" w:cs="宋体"/>
                <w:kern w:val="0"/>
                <w:sz w:val="24"/>
                <w:szCs w:val="24"/>
              </w:rPr>
            </w:pPr>
            <w:r>
              <w:rPr>
                <w:rFonts w:hint="eastAsia" w:ascii="宋体" w:hAnsi="宋体" w:eastAsia="宋体" w:cs="宋体"/>
                <w:kern w:val="0"/>
                <w:sz w:val="24"/>
                <w:szCs w:val="24"/>
              </w:rPr>
              <w:t>可以统计分析文档的阅读覆盖率及及时率</w:t>
            </w:r>
          </w:p>
        </w:tc>
      </w:tr>
    </w:tbl>
    <w:p>
      <w:pPr>
        <w:spacing w:after="0" w:line="360" w:lineRule="auto"/>
        <w:ind w:left="-25" w:leftChars="-12" w:firstLine="22" w:firstLineChars="9"/>
        <w:outlineLvl w:val="1"/>
        <w:rPr>
          <w:rFonts w:ascii="宋体" w:hAnsi="宋体" w:eastAsia="宋体" w:cs="宋体"/>
          <w:sz w:val="24"/>
          <w:szCs w:val="24"/>
        </w:rPr>
      </w:pPr>
      <w:r>
        <w:rPr>
          <w:rFonts w:hint="eastAsia" w:ascii="宋体" w:hAnsi="宋体" w:eastAsia="宋体" w:cs="宋体"/>
          <w:sz w:val="24"/>
          <w:szCs w:val="24"/>
        </w:rPr>
        <w:t>（4）智能护理白板模块</w:t>
      </w:r>
    </w:p>
    <w:tbl>
      <w:tblPr>
        <w:tblStyle w:val="7"/>
        <w:tblW w:w="9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826"/>
        <w:gridCol w:w="1809"/>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406"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项目模块</w:t>
            </w:r>
          </w:p>
        </w:tc>
        <w:tc>
          <w:tcPr>
            <w:tcW w:w="826"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序号</w:t>
            </w:r>
          </w:p>
        </w:tc>
        <w:tc>
          <w:tcPr>
            <w:tcW w:w="1809"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w:t>
            </w:r>
          </w:p>
        </w:tc>
        <w:tc>
          <w:tcPr>
            <w:tcW w:w="5120" w:type="dxa"/>
            <w:shd w:val="clear" w:color="auto" w:fill="E7E6E6"/>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restart"/>
            <w:vAlign w:val="center"/>
          </w:tcPr>
          <w:p>
            <w:pPr>
              <w:widowControl/>
              <w:spacing w:after="0" w:line="24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智能护理白板模块</w:t>
            </w: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color w:val="000000"/>
                <w:sz w:val="24"/>
                <w:szCs w:val="24"/>
              </w:rPr>
              <w:t>护理项目</w:t>
            </w:r>
          </w:p>
        </w:tc>
        <w:tc>
          <w:tcPr>
            <w:tcW w:w="5120" w:type="dxa"/>
            <w:vAlign w:val="center"/>
          </w:tcPr>
          <w:p>
            <w:pPr>
              <w:adjustRightInd w:val="0"/>
              <w:spacing w:beforeLines="20" w:after="0" w:line="288" w:lineRule="auto"/>
              <w:rPr>
                <w:rFonts w:ascii="宋体" w:hAnsi="宋体" w:eastAsia="宋体" w:cs="宋体"/>
                <w:kern w:val="0"/>
                <w:sz w:val="24"/>
                <w:szCs w:val="24"/>
              </w:rPr>
            </w:pPr>
            <w:r>
              <w:rPr>
                <w:rFonts w:hint="eastAsia" w:ascii="宋体" w:hAnsi="宋体" w:eastAsia="宋体" w:cs="宋体"/>
                <w:color w:val="000000"/>
                <w:sz w:val="24"/>
                <w:szCs w:val="24"/>
              </w:rPr>
              <w:t>根据后台配置显示对应的护理项目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color w:val="000000"/>
                <w:sz w:val="24"/>
                <w:szCs w:val="24"/>
              </w:rPr>
              <w:t>病患弹窗</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color w:val="000000"/>
                <w:sz w:val="24"/>
                <w:szCs w:val="24"/>
              </w:rPr>
              <w:t>点击护理项目病患床号，弹出病患详细信息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color w:val="000000"/>
                <w:sz w:val="24"/>
                <w:szCs w:val="24"/>
              </w:rPr>
              <w:t>护理项目执行时间提醒</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color w:val="000000"/>
                <w:sz w:val="24"/>
                <w:szCs w:val="24"/>
              </w:rPr>
              <w:t>对患者护理项目设置定时提醒，到时间自动弹出提醒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自定义护理项目</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数据不局限于自动抓取，护士可以自主添加护理项目对应的患者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换床</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展示自动抓取的患者换床及转床记录，可自定义添加换床信息。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今日值班信息</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展示当天科室今日值班人及联系方式信息，支持用户在屏幕端自主进行调整。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便签</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显示便签信息，用户可自定义添加便签提醒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电话薄</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显示科室常用的联系方式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床位一览卡</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展示科室床位情况及在院患者信息（基本信息/护理等级/病情/诊断等等），可快速对不同类型患者进行筛选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adjustRightInd w:val="0"/>
              <w:spacing w:beforeLines="20"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患者首页</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展示患者基本信息，当天护理项目情况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医嘱</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显示患者长期临时医嘱，可进行分类筛选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护理记录</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展示患者当日所有护理记录信息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分组信息</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科室护士分组信息展示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护士详情</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护士基本信息展示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病患计划</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护士当日负责患者信息（床位及描述），护理计划描述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护士排班</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显示排班数据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锁屏设置</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可设置主题、屏保、锁屏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vMerge w:val="continue"/>
            <w:vAlign w:val="center"/>
          </w:tcPr>
          <w:p>
            <w:pPr>
              <w:spacing w:after="0" w:line="240" w:lineRule="auto"/>
              <w:jc w:val="center"/>
              <w:rPr>
                <w:rFonts w:ascii="宋体" w:hAnsi="宋体" w:eastAsia="宋体" w:cs="宋体"/>
                <w:kern w:val="0"/>
                <w:sz w:val="24"/>
                <w:szCs w:val="24"/>
              </w:rPr>
            </w:pPr>
          </w:p>
        </w:tc>
        <w:tc>
          <w:tcPr>
            <w:tcW w:w="826"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809"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时间同步</w:t>
            </w:r>
          </w:p>
        </w:tc>
        <w:tc>
          <w:tcPr>
            <w:tcW w:w="5120" w:type="dxa"/>
            <w:vAlign w:val="center"/>
          </w:tcPr>
          <w:p>
            <w:pPr>
              <w:adjustRightInd w:val="0"/>
              <w:spacing w:beforeLines="20"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护士站交互大屏软件跟医院服务器时间同步</w:t>
            </w:r>
          </w:p>
        </w:tc>
      </w:tr>
    </w:tbl>
    <w:p>
      <w:pPr>
        <w:spacing w:after="0" w:line="360" w:lineRule="auto"/>
        <w:ind w:left="-25" w:leftChars="-12" w:firstLine="22" w:firstLineChars="9"/>
        <w:outlineLvl w:val="1"/>
        <w:rPr>
          <w:rFonts w:ascii="宋体" w:hAnsi="宋体" w:eastAsia="宋体" w:cs="宋体"/>
          <w:sz w:val="24"/>
          <w:szCs w:val="24"/>
        </w:rPr>
      </w:pPr>
      <w:r>
        <w:rPr>
          <w:rFonts w:hint="eastAsia" w:ascii="宋体" w:hAnsi="宋体" w:eastAsia="宋体" w:cs="宋体"/>
          <w:sz w:val="24"/>
          <w:szCs w:val="24"/>
        </w:rPr>
        <w:t>（5）护理绩效系统</w:t>
      </w:r>
    </w:p>
    <w:tbl>
      <w:tblPr>
        <w:tblStyle w:val="7"/>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751"/>
        <w:gridCol w:w="1775"/>
        <w:gridCol w:w="5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Align w:val="center"/>
          </w:tcPr>
          <w:p>
            <w:pPr>
              <w:pStyle w:val="10"/>
              <w:spacing w:after="0" w:line="240" w:lineRule="auto"/>
              <w:ind w:left="1" w:hanging="1" w:firstLineChars="0"/>
              <w:jc w:val="center"/>
              <w:rPr>
                <w:rFonts w:ascii="宋体" w:hAnsi="宋体" w:eastAsia="宋体" w:cs="宋体"/>
                <w:bCs/>
                <w:kern w:val="0"/>
                <w:szCs w:val="24"/>
              </w:rPr>
            </w:pPr>
            <w:r>
              <w:rPr>
                <w:rFonts w:hint="eastAsia" w:ascii="宋体" w:hAnsi="宋体" w:eastAsia="宋体" w:cs="宋体"/>
                <w:bCs/>
                <w:kern w:val="0"/>
                <w:szCs w:val="24"/>
              </w:rPr>
              <w:t>项目模块</w:t>
            </w:r>
          </w:p>
        </w:tc>
        <w:tc>
          <w:tcPr>
            <w:tcW w:w="751"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序号</w:t>
            </w:r>
          </w:p>
        </w:tc>
        <w:tc>
          <w:tcPr>
            <w:tcW w:w="1775"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w:t>
            </w:r>
          </w:p>
        </w:tc>
        <w:tc>
          <w:tcPr>
            <w:tcW w:w="5311"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restart"/>
            <w:vAlign w:val="center"/>
          </w:tcPr>
          <w:p>
            <w:pPr>
              <w:widowControl/>
              <w:spacing w:after="0" w:line="360" w:lineRule="auto"/>
              <w:ind w:right="-105" w:rightChars="-50"/>
              <w:jc w:val="center"/>
              <w:textAlignment w:val="center"/>
              <w:rPr>
                <w:rFonts w:ascii="宋体" w:hAnsi="宋体" w:eastAsia="宋体" w:cs="宋体"/>
                <w:kern w:val="0"/>
                <w:sz w:val="24"/>
                <w:szCs w:val="24"/>
              </w:rPr>
            </w:pPr>
            <w:r>
              <w:rPr>
                <w:rFonts w:hint="eastAsia" w:ascii="宋体" w:hAnsi="宋体" w:eastAsia="宋体" w:cs="宋体"/>
                <w:kern w:val="0"/>
                <w:sz w:val="24"/>
                <w:szCs w:val="24"/>
              </w:rPr>
              <w:t>系统技术</w:t>
            </w:r>
          </w:p>
          <w:p>
            <w:pPr>
              <w:widowControl/>
              <w:spacing w:after="0" w:line="360" w:lineRule="auto"/>
              <w:ind w:right="-105" w:rightChars="-50"/>
              <w:jc w:val="center"/>
              <w:textAlignment w:val="center"/>
              <w:rPr>
                <w:rFonts w:ascii="宋体" w:hAnsi="宋体" w:eastAsia="宋体" w:cs="宋体"/>
                <w:kern w:val="0"/>
                <w:sz w:val="24"/>
                <w:szCs w:val="24"/>
              </w:rPr>
            </w:pPr>
            <w:r>
              <w:rPr>
                <w:rFonts w:hint="eastAsia" w:ascii="宋体" w:hAnsi="宋体" w:eastAsia="宋体" w:cs="宋体"/>
                <w:kern w:val="0"/>
                <w:sz w:val="24"/>
                <w:szCs w:val="24"/>
              </w:rPr>
              <w:t>标准</w:t>
            </w: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1</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安全性设计</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1.系统应具有用户密码的MD5加密处理；</w:t>
            </w:r>
          </w:p>
          <w:p>
            <w:pPr>
              <w:widowControl/>
              <w:spacing w:beforeLines="20" w:after="0" w:line="288" w:lineRule="auto"/>
              <w:textAlignment w:val="top"/>
              <w:rPr>
                <w:rFonts w:ascii="宋体" w:hAnsi="宋体" w:eastAsia="宋体" w:cs="宋体"/>
                <w:sz w:val="24"/>
                <w:szCs w:val="24"/>
              </w:rPr>
            </w:pPr>
            <w:r>
              <w:rPr>
                <w:rFonts w:hint="eastAsia" w:ascii="宋体" w:hAnsi="宋体" w:eastAsia="宋体" w:cs="宋体"/>
                <w:kern w:val="0"/>
                <w:sz w:val="24"/>
                <w:szCs w:val="24"/>
              </w:rPr>
              <w:t>2.系统应具有账户登录方式控制功能，包含多点登录、Pad端登录、PDA端登录的控制功能；</w:t>
            </w:r>
          </w:p>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（需提供加盖制造商公章的软件功能截图，未提供功能截图此项视为不满足）。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262" w:type="dxa"/>
            <w:vMerge w:val="continue"/>
            <w:vAlign w:val="center"/>
          </w:tcPr>
          <w:p>
            <w:pPr>
              <w:widowControl/>
              <w:spacing w:after="0" w:line="360" w:lineRule="auto"/>
              <w:ind w:right="-105" w:rightChars="-50"/>
              <w:jc w:val="center"/>
              <w:textAlignment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2</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UI交互体验</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1.系统应具有较美观的前端页面设计；</w:t>
            </w:r>
          </w:p>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2.系统应具有更生动的数字标记；</w:t>
            </w:r>
          </w:p>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3.系统应支持区域加载和全屏加载</w:t>
            </w:r>
          </w:p>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（需提供加盖制造商公章的软件功能截图，未提供功能截图此项视为不满足）。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jc w:val="center"/>
        </w:trPr>
        <w:tc>
          <w:tcPr>
            <w:tcW w:w="1262" w:type="dxa"/>
            <w:vMerge w:val="continue"/>
            <w:vAlign w:val="center"/>
          </w:tcPr>
          <w:p>
            <w:pPr>
              <w:widowControl/>
              <w:spacing w:after="0" w:line="360" w:lineRule="auto"/>
              <w:ind w:right="-105" w:rightChars="-50"/>
              <w:jc w:val="center"/>
              <w:textAlignment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数据离线缓存</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系统应具备离线操作设计，系统在离线状态下能够缓存用户的操作数据，待操作设备连接网络后系统能够自动上传离线数据，完成与后台服务器的同步。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262" w:type="dxa"/>
            <w:vMerge w:val="continue"/>
            <w:vAlign w:val="center"/>
          </w:tcPr>
          <w:p>
            <w:pPr>
              <w:widowControl/>
              <w:spacing w:after="0" w:line="360" w:lineRule="auto"/>
              <w:ind w:right="-105" w:rightChars="-50"/>
              <w:jc w:val="center"/>
              <w:textAlignment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图形统计标准</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系统所含的图形统计应至少支持曲线图、柱状图、饼图、树图、柏拉图，五种图形统计方式。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restart"/>
            <w:vAlign w:val="center"/>
          </w:tcPr>
          <w:p>
            <w:pPr>
              <w:widowControl/>
              <w:spacing w:after="0" w:line="360" w:lineRule="auto"/>
              <w:ind w:right="-105" w:rightChars="-50"/>
              <w:jc w:val="center"/>
              <w:textAlignment w:val="center"/>
              <w:rPr>
                <w:rFonts w:ascii="宋体" w:hAnsi="宋体" w:eastAsia="宋体" w:cs="宋体"/>
                <w:kern w:val="0"/>
                <w:sz w:val="24"/>
                <w:szCs w:val="24"/>
              </w:rPr>
            </w:pPr>
            <w:r>
              <w:rPr>
                <w:rFonts w:hint="eastAsia" w:ascii="宋体" w:hAnsi="宋体" w:eastAsia="宋体" w:cs="宋体"/>
                <w:kern w:val="0"/>
                <w:sz w:val="24"/>
                <w:szCs w:val="24"/>
              </w:rPr>
              <w:t>权限管理</w:t>
            </w: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系统登录</w:t>
            </w:r>
          </w:p>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安全管理</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护理管理用户可采用统一用户、也可独立设置用户。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continue"/>
            <w:vAlign w:val="center"/>
          </w:tcPr>
          <w:p>
            <w:pPr>
              <w:spacing w:after="0" w:line="360" w:lineRule="auto"/>
              <w:jc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权限分级管理</w:t>
            </w:r>
          </w:p>
        </w:tc>
        <w:tc>
          <w:tcPr>
            <w:tcW w:w="5311"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根据功能实现管理，基本分为护士、护士长、护理部三级权限，可以根据医院要求具体细分。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continue"/>
            <w:vAlign w:val="center"/>
          </w:tcPr>
          <w:p>
            <w:pPr>
              <w:spacing w:after="0" w:line="360" w:lineRule="auto"/>
              <w:jc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75" w:type="dxa"/>
            <w:vAlign w:val="center"/>
          </w:tcPr>
          <w:p>
            <w:pPr>
              <w:widowControl/>
              <w:spacing w:beforeLines="20" w:after="0" w:line="288" w:lineRule="auto"/>
              <w:textAlignment w:val="center"/>
              <w:rPr>
                <w:rFonts w:ascii="宋体" w:hAnsi="宋体" w:eastAsia="宋体" w:cs="宋体"/>
                <w:kern w:val="0"/>
                <w:sz w:val="24"/>
                <w:szCs w:val="24"/>
              </w:rPr>
            </w:pPr>
            <w:r>
              <w:rPr>
                <w:rFonts w:hint="eastAsia" w:ascii="宋体" w:hAnsi="宋体" w:eastAsia="宋体" w:cs="宋体"/>
                <w:kern w:val="0"/>
                <w:sz w:val="24"/>
                <w:szCs w:val="24"/>
              </w:rPr>
              <w:t>科室管理</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管理用户可根据院内实际情况进行科室添加以及设置用户管理科室涵盖部门、科室管理分布、科室管理人员、科室人员分配等。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continue"/>
            <w:vAlign w:val="center"/>
          </w:tcPr>
          <w:p>
            <w:pPr>
              <w:spacing w:after="0" w:line="360" w:lineRule="auto"/>
              <w:jc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75" w:type="dxa"/>
            <w:vAlign w:val="center"/>
          </w:tcPr>
          <w:p>
            <w:pPr>
              <w:widowControl/>
              <w:spacing w:beforeLines="20" w:after="0" w:line="288" w:lineRule="auto"/>
              <w:textAlignment w:val="center"/>
              <w:rPr>
                <w:rStyle w:val="13"/>
                <w:rFonts w:hint="default"/>
                <w:color w:val="auto"/>
                <w:kern w:val="0"/>
              </w:rPr>
            </w:pPr>
            <w:r>
              <w:rPr>
                <w:rFonts w:hint="eastAsia" w:ascii="宋体" w:hAnsi="宋体" w:eastAsia="宋体" w:cs="宋体"/>
                <w:kern w:val="0"/>
                <w:sz w:val="24"/>
                <w:szCs w:val="24"/>
              </w:rPr>
              <w:t>部门管理</w:t>
            </w:r>
          </w:p>
        </w:tc>
        <w:tc>
          <w:tcPr>
            <w:tcW w:w="5311" w:type="dxa"/>
            <w:vAlign w:val="center"/>
          </w:tcPr>
          <w:p>
            <w:pPr>
              <w:widowControl/>
              <w:spacing w:beforeLines="20" w:after="0" w:line="288" w:lineRule="auto"/>
              <w:textAlignment w:val="top"/>
              <w:rPr>
                <w:rFonts w:ascii="宋体" w:hAnsi="宋体" w:eastAsia="宋体" w:cs="宋体"/>
                <w:kern w:val="0"/>
                <w:sz w:val="24"/>
                <w:szCs w:val="24"/>
              </w:rPr>
            </w:pPr>
            <w:r>
              <w:rPr>
                <w:rFonts w:hint="eastAsia" w:ascii="宋体" w:hAnsi="宋体" w:eastAsia="宋体" w:cs="宋体"/>
                <w:kern w:val="0"/>
                <w:sz w:val="24"/>
                <w:szCs w:val="24"/>
              </w:rPr>
              <w:t>管理用户可根据院内实际情况进行部门添加以及设置用户管理部门管理分布、部门管理人员、部门管理人员分配等。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1262" w:type="dxa"/>
            <w:vMerge w:val="restart"/>
            <w:vAlign w:val="center"/>
          </w:tcPr>
          <w:p>
            <w:pPr>
              <w:widowControl/>
              <w:adjustRightInd w:val="0"/>
              <w:snapToGrid w:val="0"/>
              <w:spacing w:after="0" w:line="360" w:lineRule="auto"/>
              <w:jc w:val="center"/>
              <w:rPr>
                <w:rFonts w:ascii="宋体" w:hAnsi="宋体" w:eastAsia="宋体" w:cs="宋体"/>
                <w:kern w:val="0"/>
                <w:sz w:val="24"/>
                <w:szCs w:val="24"/>
              </w:rPr>
            </w:pPr>
            <w:r>
              <w:rPr>
                <w:rFonts w:hint="eastAsia" w:ascii="宋体" w:hAnsi="宋体" w:eastAsia="宋体" w:cs="宋体"/>
                <w:kern w:val="0"/>
                <w:sz w:val="24"/>
                <w:szCs w:val="24"/>
              </w:rPr>
              <w:t>护理绩效</w:t>
            </w:r>
          </w:p>
          <w:p>
            <w:pPr>
              <w:widowControl/>
              <w:adjustRightInd w:val="0"/>
              <w:snapToGrid w:val="0"/>
              <w:spacing w:after="0" w:line="360" w:lineRule="auto"/>
              <w:jc w:val="center"/>
              <w:rPr>
                <w:rFonts w:ascii="宋体" w:hAnsi="宋体" w:eastAsia="宋体" w:cs="宋体"/>
                <w:b/>
                <w:bCs/>
                <w:kern w:val="0"/>
                <w:sz w:val="24"/>
                <w:szCs w:val="24"/>
              </w:rPr>
            </w:pPr>
            <w:r>
              <w:rPr>
                <w:rFonts w:hint="eastAsia" w:ascii="宋体" w:hAnsi="宋体" w:eastAsia="宋体" w:cs="宋体"/>
                <w:kern w:val="0"/>
                <w:sz w:val="24"/>
                <w:szCs w:val="24"/>
              </w:rPr>
              <w:t>管理</w:t>
            </w: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75" w:type="dxa"/>
            <w:vAlign w:val="center"/>
          </w:tcPr>
          <w:p>
            <w:pPr>
              <w:widowControl/>
              <w:spacing w:beforeLines="20" w:after="0" w:line="288" w:lineRule="auto"/>
              <w:jc w:val="left"/>
              <w:textAlignment w:val="center"/>
              <w:rPr>
                <w:rStyle w:val="13"/>
                <w:rFonts w:hint="default"/>
                <w:color w:val="auto"/>
                <w:kern w:val="0"/>
              </w:rPr>
            </w:pPr>
            <w:r>
              <w:rPr>
                <w:rStyle w:val="13"/>
                <w:rFonts w:hint="default"/>
                <w:color w:val="auto"/>
                <w:kern w:val="0"/>
              </w:rPr>
              <w:t>绩效数据</w:t>
            </w:r>
          </w:p>
        </w:tc>
        <w:tc>
          <w:tcPr>
            <w:tcW w:w="5311" w:type="dxa"/>
            <w:vAlign w:val="center"/>
          </w:tcPr>
          <w:p>
            <w:pPr>
              <w:spacing w:beforeLines="20" w:after="0" w:line="288" w:lineRule="auto"/>
              <w:rPr>
                <w:rFonts w:ascii="宋体" w:hAnsi="宋体" w:eastAsia="宋体" w:cs="宋体"/>
                <w:kern w:val="0"/>
                <w:sz w:val="24"/>
                <w:szCs w:val="24"/>
              </w:rPr>
            </w:pPr>
            <w:r>
              <w:rPr>
                <w:rFonts w:hint="eastAsia" w:ascii="宋体" w:hAnsi="宋体" w:eastAsia="宋体" w:cs="宋体"/>
                <w:kern w:val="0"/>
                <w:sz w:val="24"/>
                <w:szCs w:val="24"/>
              </w:rPr>
              <w:t>能够根据护士出勤、年资、岗位等要素自动计算护理人员的绩效数据,具体计算规则需按照用户提供的计算公式及需求实现护理绩效的自动计算。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2" w:type="dxa"/>
            <w:vMerge w:val="continue"/>
          </w:tcPr>
          <w:p>
            <w:pPr>
              <w:spacing w:after="0" w:line="360" w:lineRule="auto"/>
              <w:jc w:val="center"/>
              <w:rPr>
                <w:rFonts w:ascii="宋体" w:hAnsi="宋体" w:eastAsia="宋体" w:cs="宋体"/>
                <w:kern w:val="0"/>
                <w:sz w:val="24"/>
                <w:szCs w:val="24"/>
              </w:rPr>
            </w:pPr>
          </w:p>
        </w:tc>
        <w:tc>
          <w:tcPr>
            <w:tcW w:w="751" w:type="dxa"/>
            <w:vAlign w:val="center"/>
          </w:tcPr>
          <w:p>
            <w:pPr>
              <w:widowControl/>
              <w:spacing w:beforeLines="20" w:after="0" w:line="288"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75" w:type="dxa"/>
            <w:vAlign w:val="center"/>
          </w:tcPr>
          <w:p>
            <w:pPr>
              <w:widowControl/>
              <w:spacing w:beforeLines="20" w:after="0" w:line="288" w:lineRule="auto"/>
              <w:jc w:val="left"/>
              <w:textAlignment w:val="center"/>
              <w:rPr>
                <w:rStyle w:val="13"/>
                <w:rFonts w:hint="default"/>
                <w:color w:val="auto"/>
                <w:kern w:val="0"/>
              </w:rPr>
            </w:pPr>
            <w:r>
              <w:rPr>
                <w:rStyle w:val="13"/>
                <w:rFonts w:hint="default"/>
                <w:color w:val="auto"/>
                <w:kern w:val="0"/>
              </w:rPr>
              <w:t>字典设置</w:t>
            </w:r>
          </w:p>
        </w:tc>
        <w:tc>
          <w:tcPr>
            <w:tcW w:w="5311" w:type="dxa"/>
            <w:vAlign w:val="center"/>
          </w:tcPr>
          <w:p>
            <w:pPr>
              <w:spacing w:beforeLines="20" w:after="0" w:line="288" w:lineRule="auto"/>
              <w:jc w:val="left"/>
              <w:rPr>
                <w:rFonts w:ascii="宋体" w:hAnsi="宋体" w:eastAsia="宋体" w:cs="宋体"/>
                <w:sz w:val="24"/>
                <w:szCs w:val="24"/>
              </w:rPr>
            </w:pPr>
            <w:r>
              <w:rPr>
                <w:rFonts w:hint="eastAsia" w:ascii="宋体" w:hAnsi="宋体" w:eastAsia="宋体" w:cs="宋体"/>
                <w:sz w:val="24"/>
                <w:szCs w:val="24"/>
              </w:rPr>
              <w:t>绩效字典维护，包含：工作量字典（班次关联）、年资字典、岗位字典、绩效分配字典、夜班奖金字典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1262" w:type="dxa"/>
            <w:vMerge w:val="continue"/>
          </w:tcPr>
          <w:p>
            <w:pPr>
              <w:pStyle w:val="4"/>
              <w:spacing w:line="360" w:lineRule="auto"/>
              <w:rPr>
                <w:rFonts w:ascii="宋体" w:hAnsi="宋体" w:cs="宋体"/>
                <w:kern w:val="0"/>
                <w:sz w:val="24"/>
                <w:szCs w:val="24"/>
              </w:rPr>
            </w:pPr>
          </w:p>
        </w:tc>
        <w:tc>
          <w:tcPr>
            <w:tcW w:w="751" w:type="dxa"/>
            <w:vAlign w:val="center"/>
          </w:tcPr>
          <w:p>
            <w:pPr>
              <w:pStyle w:val="4"/>
              <w:keepNext w:val="0"/>
              <w:keepLines w:val="0"/>
              <w:spacing w:beforeLines="20" w:line="288" w:lineRule="auto"/>
              <w:rPr>
                <w:rFonts w:ascii="宋体" w:hAnsi="宋体" w:cs="宋体"/>
                <w:b w:val="0"/>
                <w:bCs w:val="0"/>
                <w:kern w:val="0"/>
                <w:sz w:val="24"/>
                <w:szCs w:val="24"/>
              </w:rPr>
            </w:pPr>
            <w:r>
              <w:rPr>
                <w:rFonts w:hint="eastAsia" w:ascii="宋体" w:hAnsi="宋体" w:cs="宋体"/>
                <w:b w:val="0"/>
                <w:bCs w:val="0"/>
                <w:sz w:val="24"/>
                <w:szCs w:val="24"/>
              </w:rPr>
              <w:t>▲</w:t>
            </w:r>
            <w:r>
              <w:rPr>
                <w:rFonts w:hint="eastAsia" w:ascii="宋体" w:hAnsi="宋体" w:cs="宋体"/>
                <w:b w:val="0"/>
                <w:bCs w:val="0"/>
                <w:kern w:val="0"/>
                <w:sz w:val="24"/>
                <w:szCs w:val="24"/>
              </w:rPr>
              <w:t>3</w:t>
            </w:r>
          </w:p>
        </w:tc>
        <w:tc>
          <w:tcPr>
            <w:tcW w:w="1775" w:type="dxa"/>
            <w:vAlign w:val="center"/>
          </w:tcPr>
          <w:p>
            <w:pPr>
              <w:pStyle w:val="4"/>
              <w:keepNext w:val="0"/>
              <w:keepLines w:val="0"/>
              <w:spacing w:beforeLines="20" w:line="288" w:lineRule="auto"/>
              <w:rPr>
                <w:rStyle w:val="13"/>
                <w:rFonts w:hint="default"/>
                <w:b w:val="0"/>
                <w:bCs w:val="0"/>
                <w:color w:val="auto"/>
                <w:kern w:val="0"/>
              </w:rPr>
            </w:pPr>
            <w:r>
              <w:rPr>
                <w:rStyle w:val="13"/>
                <w:rFonts w:hint="default"/>
                <w:b w:val="0"/>
                <w:bCs w:val="0"/>
                <w:color w:val="auto"/>
                <w:kern w:val="0"/>
              </w:rPr>
              <w:t>绩效数据查询</w:t>
            </w:r>
          </w:p>
        </w:tc>
        <w:tc>
          <w:tcPr>
            <w:tcW w:w="5311" w:type="dxa"/>
            <w:vAlign w:val="center"/>
          </w:tcPr>
          <w:p>
            <w:pPr>
              <w:spacing w:beforeLines="20" w:after="0" w:line="288" w:lineRule="auto"/>
              <w:jc w:val="left"/>
              <w:rPr>
                <w:rFonts w:ascii="宋体" w:hAnsi="宋体" w:eastAsia="宋体" w:cs="宋体"/>
                <w:sz w:val="24"/>
                <w:szCs w:val="24"/>
              </w:rPr>
            </w:pPr>
            <w:r>
              <w:rPr>
                <w:rFonts w:ascii="宋体" w:hAnsi="宋体" w:eastAsia="宋体" w:cs="宋体"/>
                <w:sz w:val="24"/>
                <w:szCs w:val="24"/>
              </w:rPr>
              <w:t>护士长按月份查询病房所有护理人员的绩效奖金情况，支持导出与图形统计分析；护士按年度，查询个人每月绩效奖金情况，支持导出与图形统计分析（需提供加盖制造商公章的软件功能截图，未提供功能截图此项视为不满足）。</w:t>
            </w:r>
          </w:p>
        </w:tc>
      </w:tr>
    </w:tbl>
    <w:p>
      <w:pPr>
        <w:spacing w:after="0" w:line="360" w:lineRule="auto"/>
        <w:ind w:left="-25" w:leftChars="-12" w:firstLine="22" w:firstLineChars="9"/>
        <w:outlineLvl w:val="1"/>
        <w:rPr>
          <w:rFonts w:ascii="宋体" w:hAnsi="宋体" w:eastAsia="宋体" w:cs="宋体"/>
          <w:sz w:val="24"/>
          <w:szCs w:val="24"/>
        </w:rPr>
      </w:pPr>
    </w:p>
    <w:p>
      <w:pPr>
        <w:spacing w:after="0" w:line="360" w:lineRule="auto"/>
        <w:ind w:left="-25" w:leftChars="-12" w:firstLine="22" w:firstLineChars="9"/>
        <w:outlineLvl w:val="1"/>
        <w:rPr>
          <w:rFonts w:ascii="宋体" w:hAnsi="宋体" w:eastAsia="宋体" w:cs="宋体"/>
          <w:sz w:val="24"/>
          <w:szCs w:val="24"/>
        </w:rPr>
      </w:pPr>
      <w:r>
        <w:rPr>
          <w:rFonts w:hint="eastAsia" w:ascii="宋体" w:hAnsi="宋体" w:eastAsia="宋体" w:cs="宋体"/>
          <w:sz w:val="24"/>
          <w:szCs w:val="24"/>
        </w:rPr>
        <w:t>（6）护理质量敏感数据系统</w:t>
      </w:r>
    </w:p>
    <w:tbl>
      <w:tblPr>
        <w:tblStyle w:val="8"/>
        <w:tblW w:w="9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709"/>
        <w:gridCol w:w="1842"/>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Align w:val="center"/>
          </w:tcPr>
          <w:p>
            <w:pPr>
              <w:pStyle w:val="10"/>
              <w:spacing w:after="0" w:line="360" w:lineRule="auto"/>
              <w:ind w:left="1" w:hanging="1" w:firstLineChars="0"/>
              <w:jc w:val="center"/>
              <w:rPr>
                <w:rFonts w:ascii="宋体" w:hAnsi="宋体" w:eastAsia="宋体" w:cs="宋体"/>
                <w:bCs/>
                <w:kern w:val="0"/>
                <w:szCs w:val="24"/>
              </w:rPr>
            </w:pPr>
            <w:r>
              <w:rPr>
                <w:rFonts w:hint="eastAsia" w:ascii="宋体" w:hAnsi="宋体" w:eastAsia="宋体" w:cs="宋体"/>
                <w:bCs/>
                <w:kern w:val="0"/>
                <w:szCs w:val="24"/>
              </w:rPr>
              <w:t>项目模块</w:t>
            </w:r>
          </w:p>
        </w:tc>
        <w:tc>
          <w:tcPr>
            <w:tcW w:w="709" w:type="dxa"/>
            <w:vAlign w:val="center"/>
          </w:tcPr>
          <w:p>
            <w:pPr>
              <w:spacing w:after="0" w:line="360" w:lineRule="auto"/>
              <w:ind w:firstLine="0"/>
              <w:jc w:val="center"/>
              <w:rPr>
                <w:rFonts w:ascii="宋体" w:hAnsi="宋体" w:eastAsia="宋体" w:cs="宋体"/>
                <w:bCs/>
                <w:kern w:val="0"/>
                <w:sz w:val="24"/>
                <w:szCs w:val="24"/>
              </w:rPr>
            </w:pPr>
            <w:r>
              <w:rPr>
                <w:rFonts w:hint="eastAsia" w:ascii="宋体" w:hAnsi="宋体" w:eastAsia="宋体" w:cs="宋体"/>
                <w:bCs/>
                <w:kern w:val="0"/>
                <w:sz w:val="24"/>
                <w:szCs w:val="24"/>
              </w:rPr>
              <w:t>序号</w:t>
            </w:r>
          </w:p>
        </w:tc>
        <w:tc>
          <w:tcPr>
            <w:tcW w:w="1842" w:type="dxa"/>
            <w:vAlign w:val="center"/>
          </w:tcPr>
          <w:p>
            <w:pPr>
              <w:spacing w:after="0" w:line="360" w:lineRule="auto"/>
              <w:ind w:firstLine="425"/>
              <w:jc w:val="center"/>
              <w:rPr>
                <w:rFonts w:ascii="宋体" w:hAnsi="宋体" w:eastAsia="宋体" w:cs="宋体"/>
                <w:bCs/>
                <w:kern w:val="0"/>
                <w:sz w:val="24"/>
                <w:szCs w:val="24"/>
              </w:rPr>
            </w:pPr>
            <w:r>
              <w:rPr>
                <w:rFonts w:hint="eastAsia" w:ascii="宋体" w:hAnsi="宋体" w:eastAsia="宋体" w:cs="宋体"/>
                <w:bCs/>
                <w:kern w:val="0"/>
                <w:sz w:val="24"/>
                <w:szCs w:val="24"/>
              </w:rPr>
              <w:t>功能</w:t>
            </w:r>
          </w:p>
        </w:tc>
        <w:tc>
          <w:tcPr>
            <w:tcW w:w="5358" w:type="dxa"/>
            <w:vAlign w:val="center"/>
          </w:tcPr>
          <w:p>
            <w:pPr>
              <w:spacing w:after="0" w:line="360" w:lineRule="auto"/>
              <w:ind w:firstLine="425"/>
              <w:jc w:val="center"/>
              <w:rPr>
                <w:rFonts w:ascii="宋体" w:hAnsi="宋体" w:eastAsia="宋体" w:cs="宋体"/>
                <w:bCs/>
                <w:kern w:val="0"/>
                <w:sz w:val="24"/>
                <w:szCs w:val="24"/>
              </w:rPr>
            </w:pPr>
            <w:r>
              <w:rPr>
                <w:rFonts w:hint="eastAsia" w:ascii="宋体" w:hAnsi="宋体" w:eastAsia="宋体" w:cs="宋体"/>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Align w:val="center"/>
          </w:tcPr>
          <w:p>
            <w:pPr>
              <w:widowControl/>
              <w:adjustRightInd w:val="0"/>
              <w:snapToGrid w:val="0"/>
              <w:spacing w:after="0" w:line="360" w:lineRule="auto"/>
              <w:ind w:firstLine="0"/>
              <w:jc w:val="center"/>
              <w:rPr>
                <w:rFonts w:ascii="宋体" w:hAnsi="宋体" w:eastAsia="宋体" w:cs="宋体"/>
                <w:kern w:val="0"/>
                <w:sz w:val="24"/>
                <w:szCs w:val="24"/>
              </w:rPr>
            </w:pPr>
            <w:r>
              <w:rPr>
                <w:rFonts w:hint="eastAsia" w:ascii="宋体" w:hAnsi="宋体" w:eastAsia="宋体" w:cs="宋体"/>
                <w:kern w:val="0"/>
                <w:sz w:val="24"/>
                <w:szCs w:val="24"/>
              </w:rPr>
              <w:t>总体要求</w:t>
            </w: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42" w:type="dxa"/>
            <w:vAlign w:val="center"/>
          </w:tcPr>
          <w:p>
            <w:pPr>
              <w:widowControl/>
              <w:spacing w:after="0" w:line="360" w:lineRule="auto"/>
              <w:ind w:firstLine="0"/>
              <w:jc w:val="center"/>
              <w:textAlignment w:val="center"/>
              <w:rPr>
                <w:rStyle w:val="13"/>
                <w:rFonts w:hint="default"/>
                <w:color w:val="auto"/>
                <w:kern w:val="0"/>
              </w:rPr>
            </w:pPr>
            <w:r>
              <w:rPr>
                <w:rFonts w:hint="eastAsia" w:ascii="宋体" w:hAnsi="宋体" w:eastAsia="宋体" w:cs="宋体"/>
                <w:kern w:val="0"/>
                <w:sz w:val="24"/>
                <w:szCs w:val="24"/>
              </w:rPr>
              <w:t>护理敏感指标数据系统总体要求</w:t>
            </w:r>
          </w:p>
        </w:tc>
        <w:tc>
          <w:tcPr>
            <w:tcW w:w="5358" w:type="dxa"/>
          </w:tcPr>
          <w:p>
            <w:pPr>
              <w:pStyle w:val="4"/>
              <w:spacing w:line="360" w:lineRule="auto"/>
              <w:ind w:firstLine="425"/>
              <w:outlineLvl w:val="2"/>
              <w:rPr>
                <w:rStyle w:val="13"/>
                <w:rFonts w:hint="default"/>
                <w:b w:val="0"/>
                <w:bCs w:val="0"/>
                <w:color w:val="auto"/>
                <w:kern w:val="0"/>
              </w:rPr>
            </w:pPr>
            <w:r>
              <w:rPr>
                <w:rStyle w:val="13"/>
                <w:rFonts w:hint="default"/>
                <w:b w:val="0"/>
                <w:bCs w:val="0"/>
                <w:color w:val="auto"/>
                <w:kern w:val="0"/>
              </w:rPr>
              <w:t>以区域、护理单元形式统计数据。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252" w:type="dxa"/>
            <w:vMerge w:val="restart"/>
            <w:vAlign w:val="center"/>
          </w:tcPr>
          <w:p>
            <w:pPr>
              <w:widowControl/>
              <w:adjustRightInd w:val="0"/>
              <w:snapToGrid w:val="0"/>
              <w:spacing w:after="0" w:line="360" w:lineRule="auto"/>
              <w:ind w:firstLine="0"/>
              <w:jc w:val="center"/>
              <w:rPr>
                <w:rFonts w:ascii="宋体" w:hAnsi="宋体" w:eastAsia="宋体" w:cs="宋体"/>
                <w:kern w:val="0"/>
                <w:sz w:val="24"/>
                <w:szCs w:val="24"/>
              </w:rPr>
            </w:pPr>
            <w:r>
              <w:rPr>
                <w:rFonts w:hint="eastAsia" w:ascii="宋体" w:hAnsi="宋体" w:eastAsia="宋体" w:cs="宋体"/>
                <w:kern w:val="0"/>
                <w:sz w:val="24"/>
                <w:szCs w:val="24"/>
              </w:rPr>
              <w:t>护理质量敏感数据</w:t>
            </w: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42" w:type="dxa"/>
            <w:vAlign w:val="center"/>
          </w:tcPr>
          <w:p>
            <w:pPr>
              <w:widowControl/>
              <w:spacing w:after="0" w:line="360" w:lineRule="auto"/>
              <w:ind w:firstLine="0"/>
              <w:jc w:val="center"/>
              <w:textAlignment w:val="center"/>
              <w:rPr>
                <w:rStyle w:val="13"/>
                <w:rFonts w:hint="default"/>
                <w:color w:val="auto"/>
                <w:kern w:val="0"/>
              </w:rPr>
            </w:pPr>
            <w:r>
              <w:rPr>
                <w:rStyle w:val="13"/>
                <w:rFonts w:hint="default"/>
                <w:color w:val="auto"/>
                <w:kern w:val="0"/>
              </w:rPr>
              <w:t>每日凌晨零点统计项目</w:t>
            </w: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导尿管留置数、 CVC留置、PICC留置数、胃肠管（经口鼻）留置数、气管插管和气管切开数、有创机械通气数、住院患者身体约束数、 PICC相关血流感染发生例次数、 CVC相关血流感染发生例次数、 VAP发生例次数、导尿管相关尿路感染（CAUTI）发生例次数、患者实际占床数、特级护理人数、一级护理人数、二级护理人数、三级护理人数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252" w:type="dxa"/>
            <w:vMerge w:val="continue"/>
          </w:tcPr>
          <w:p>
            <w:pPr>
              <w:spacing w:line="360" w:lineRule="auto"/>
              <w:ind w:firstLine="425"/>
              <w:jc w:val="center"/>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42" w:type="dxa"/>
            <w:vMerge w:val="restart"/>
            <w:vAlign w:val="center"/>
          </w:tcPr>
          <w:p>
            <w:pPr>
              <w:widowControl/>
              <w:spacing w:after="0" w:line="360" w:lineRule="auto"/>
              <w:ind w:firstLine="0"/>
              <w:jc w:val="center"/>
              <w:textAlignment w:val="center"/>
              <w:rPr>
                <w:rStyle w:val="13"/>
                <w:rFonts w:hint="default"/>
                <w:color w:val="auto"/>
                <w:kern w:val="0"/>
              </w:rPr>
            </w:pPr>
            <w:r>
              <w:rPr>
                <w:rStyle w:val="13"/>
                <w:rFonts w:hint="default"/>
                <w:color w:val="auto"/>
                <w:kern w:val="0"/>
              </w:rPr>
              <w:t>按照班次进行项目统计，白班时段：8:00-18:00，</w:t>
            </w:r>
          </w:p>
          <w:p>
            <w:pPr>
              <w:widowControl/>
              <w:spacing w:after="0" w:line="360" w:lineRule="auto"/>
              <w:ind w:firstLine="0"/>
              <w:jc w:val="center"/>
              <w:textAlignment w:val="center"/>
              <w:rPr>
                <w:rStyle w:val="13"/>
                <w:rFonts w:hint="default"/>
                <w:color w:val="auto"/>
                <w:kern w:val="0"/>
              </w:rPr>
            </w:pPr>
            <w:r>
              <w:rPr>
                <w:rStyle w:val="13"/>
                <w:rFonts w:hint="default"/>
                <w:color w:val="auto"/>
                <w:kern w:val="0"/>
              </w:rPr>
              <w:t>夜班时段：18:01-7:59。</w:t>
            </w: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白班接班时在院患者数（8:00）、白班新入患者数、白班科室责任护士上班小时数、夜班接班时在院患者数（18:00）、夜班新入患者数、夜班科室责任护士上班小时数、当日科室执业护士上班小时数。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jc w:val="center"/>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42" w:type="dxa"/>
            <w:vMerge w:val="continue"/>
            <w:vAlign w:val="center"/>
          </w:tcPr>
          <w:p>
            <w:pPr>
              <w:spacing w:line="360" w:lineRule="auto"/>
              <w:ind w:firstLine="425"/>
              <w:jc w:val="center"/>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白班护患比：（白班接班时患者数+白班新入患者数）÷（白班责任护士小时数÷8）。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jc w:val="center"/>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42" w:type="dxa"/>
            <w:vMerge w:val="continue"/>
            <w:vAlign w:val="center"/>
          </w:tcPr>
          <w:p>
            <w:pPr>
              <w:spacing w:line="360" w:lineRule="auto"/>
              <w:ind w:firstLine="425"/>
              <w:jc w:val="center"/>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每住院患者24小时平均护理时数：同期执业护士实际上班小时数÷同期实际占床日数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jc w:val="center"/>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42" w:type="dxa"/>
            <w:vMerge w:val="continue"/>
            <w:vAlign w:val="center"/>
          </w:tcPr>
          <w:p>
            <w:pPr>
              <w:spacing w:line="360" w:lineRule="auto"/>
              <w:ind w:firstLine="425"/>
              <w:jc w:val="center"/>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病区床护比、夜班平均护患比、平均每天护患比、特级护理占比、一级护理占比、二级护理占比、三级护理占比。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jc w:val="center"/>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842" w:type="dxa"/>
            <w:vMerge w:val="restart"/>
            <w:vAlign w:val="center"/>
          </w:tcPr>
          <w:p>
            <w:pPr>
              <w:widowControl/>
              <w:spacing w:after="0" w:line="360" w:lineRule="auto"/>
              <w:ind w:firstLine="0"/>
              <w:jc w:val="center"/>
              <w:textAlignment w:val="center"/>
              <w:rPr>
                <w:rFonts w:ascii="宋体" w:hAnsi="宋体" w:eastAsia="宋体" w:cs="宋体"/>
                <w:kern w:val="0"/>
                <w:szCs w:val="21"/>
              </w:rPr>
            </w:pPr>
            <w:r>
              <w:rPr>
                <w:rStyle w:val="13"/>
                <w:rFonts w:hint="default"/>
                <w:color w:val="auto"/>
                <w:kern w:val="0"/>
              </w:rPr>
              <w:t>项目统计要求</w:t>
            </w: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可选择统计时间段（日、月、季度、年）。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842" w:type="dxa"/>
            <w:vMerge w:val="continue"/>
          </w:tcPr>
          <w:p>
            <w:pPr>
              <w:spacing w:line="360" w:lineRule="auto"/>
              <w:ind w:firstLine="425"/>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可选择统计全部病区数量或统计单个病区数量。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842" w:type="dxa"/>
            <w:vMerge w:val="continue"/>
          </w:tcPr>
          <w:p>
            <w:pPr>
              <w:spacing w:line="360" w:lineRule="auto"/>
              <w:ind w:firstLine="425"/>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选择病区及统计时间段后，导出表格的各项目数据可自动求和（Excel表）。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2" w:type="dxa"/>
            <w:vMerge w:val="continue"/>
          </w:tcPr>
          <w:p>
            <w:pPr>
              <w:spacing w:line="360" w:lineRule="auto"/>
              <w:ind w:firstLine="425"/>
              <w:rPr>
                <w:rFonts w:ascii="宋体" w:hAnsi="宋体" w:eastAsia="宋体" w:cs="宋体"/>
                <w:kern w:val="0"/>
                <w:szCs w:val="21"/>
              </w:rPr>
            </w:pPr>
          </w:p>
        </w:tc>
        <w:tc>
          <w:tcPr>
            <w:tcW w:w="709" w:type="dxa"/>
            <w:vAlign w:val="center"/>
          </w:tcPr>
          <w:p>
            <w:pPr>
              <w:widowControl/>
              <w:spacing w:after="0" w:line="360" w:lineRule="auto"/>
              <w:ind w:firstLine="0"/>
              <w:jc w:val="center"/>
              <w:textAlignment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842" w:type="dxa"/>
            <w:vMerge w:val="continue"/>
          </w:tcPr>
          <w:p>
            <w:pPr>
              <w:spacing w:line="360" w:lineRule="auto"/>
              <w:ind w:firstLine="425"/>
              <w:rPr>
                <w:rFonts w:ascii="宋体" w:hAnsi="宋体" w:eastAsia="宋体" w:cs="宋体"/>
                <w:kern w:val="0"/>
                <w:szCs w:val="21"/>
              </w:rPr>
            </w:pPr>
          </w:p>
        </w:tc>
        <w:tc>
          <w:tcPr>
            <w:tcW w:w="5358" w:type="dxa"/>
          </w:tcPr>
          <w:p>
            <w:pPr>
              <w:spacing w:after="0" w:line="360" w:lineRule="auto"/>
              <w:ind w:firstLine="425"/>
              <w:jc w:val="left"/>
              <w:rPr>
                <w:rFonts w:ascii="宋体" w:hAnsi="宋体" w:eastAsia="宋体" w:cs="宋体"/>
                <w:sz w:val="24"/>
                <w:szCs w:val="24"/>
              </w:rPr>
            </w:pPr>
            <w:r>
              <w:rPr>
                <w:rFonts w:hint="eastAsia" w:ascii="宋体" w:hAnsi="宋体" w:eastAsia="宋体" w:cs="宋体"/>
                <w:sz w:val="24"/>
                <w:szCs w:val="24"/>
              </w:rPr>
              <w:t>数据计算及绘制图表（本科室数据比对及科室间数据比对）。</w:t>
            </w:r>
          </w:p>
        </w:tc>
      </w:tr>
    </w:tbl>
    <w:p>
      <w:pPr>
        <w:pStyle w:val="10"/>
        <w:spacing w:beforeLines="50" w:after="0" w:line="360" w:lineRule="auto"/>
        <w:ind w:firstLine="0" w:firstLineChars="0"/>
        <w:rPr>
          <w:rFonts w:ascii="宋体" w:hAnsi="宋体" w:eastAsia="宋体" w:cs="宋体"/>
          <w:b/>
          <w:szCs w:val="24"/>
        </w:rPr>
      </w:pPr>
      <w:r>
        <w:rPr>
          <w:rFonts w:hint="eastAsia" w:ascii="宋体" w:hAnsi="宋体" w:eastAsia="宋体" w:cs="宋体"/>
          <w:b/>
          <w:szCs w:val="24"/>
        </w:rPr>
        <w:t>（二）移动手持终端PDA（100台）</w:t>
      </w:r>
    </w:p>
    <w:tbl>
      <w:tblPr>
        <w:tblStyle w:val="7"/>
        <w:tblW w:w="87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89"/>
        <w:gridCol w:w="7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989" w:type="dxa"/>
            <w:tcBorders>
              <w:top w:val="single" w:color="auto" w:sz="4" w:space="0"/>
              <w:left w:val="single" w:color="auto" w:sz="4" w:space="0"/>
              <w:bottom w:val="single" w:color="auto" w:sz="4" w:space="0"/>
              <w:right w:val="single" w:color="auto" w:sz="4" w:space="0"/>
            </w:tcBorders>
            <w:shd w:val="clear" w:color="auto" w:fill="E7E6E6"/>
            <w:vAlign w:val="center"/>
          </w:tcPr>
          <w:p>
            <w:pPr>
              <w:widowControl/>
              <w:spacing w:after="0" w:line="288" w:lineRule="auto"/>
              <w:jc w:val="center"/>
              <w:rPr>
                <w:rFonts w:ascii="宋体" w:hAnsi="宋体" w:eastAsia="宋体" w:cs="宋体"/>
                <w:b/>
                <w:kern w:val="0"/>
                <w:sz w:val="24"/>
                <w:szCs w:val="24"/>
              </w:rPr>
            </w:pPr>
            <w:r>
              <w:rPr>
                <w:rFonts w:hint="eastAsia" w:ascii="宋体" w:hAnsi="宋体" w:eastAsia="宋体" w:cs="宋体"/>
                <w:b/>
                <w:kern w:val="0"/>
                <w:sz w:val="24"/>
                <w:szCs w:val="24"/>
              </w:rPr>
              <w:t>序号</w:t>
            </w:r>
          </w:p>
        </w:tc>
        <w:tc>
          <w:tcPr>
            <w:tcW w:w="7800" w:type="dxa"/>
            <w:tcBorders>
              <w:top w:val="single" w:color="auto" w:sz="4" w:space="0"/>
              <w:left w:val="single" w:color="auto" w:sz="4" w:space="0"/>
              <w:bottom w:val="single" w:color="auto" w:sz="4" w:space="0"/>
              <w:right w:val="single" w:color="auto" w:sz="4" w:space="0"/>
            </w:tcBorders>
            <w:shd w:val="clear" w:color="auto" w:fill="E7E6E6"/>
            <w:vAlign w:val="center"/>
          </w:tcPr>
          <w:p>
            <w:pPr>
              <w:widowControl/>
              <w:spacing w:after="0" w:line="288" w:lineRule="auto"/>
              <w:jc w:val="center"/>
              <w:rPr>
                <w:rFonts w:ascii="宋体" w:hAnsi="宋体" w:eastAsia="宋体" w:cs="宋体"/>
                <w:b/>
                <w:kern w:val="0"/>
                <w:sz w:val="24"/>
                <w:szCs w:val="24"/>
              </w:rPr>
            </w:pPr>
            <w:r>
              <w:rPr>
                <w:rFonts w:hint="eastAsia" w:ascii="宋体" w:hAnsi="宋体" w:eastAsia="宋体" w:cs="宋体"/>
                <w:b/>
                <w:kern w:val="0"/>
                <w:sz w:val="24"/>
                <w:szCs w:val="24"/>
              </w:rPr>
              <w:t>技术参数要求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sz w:val="24"/>
                <w:szCs w:val="24"/>
              </w:rPr>
            </w:pPr>
            <w:r>
              <w:rPr>
                <w:rFonts w:hint="eastAsia" w:ascii="宋体" w:hAnsi="宋体" w:eastAsia="宋体" w:cs="宋体"/>
                <w:sz w:val="24"/>
                <w:szCs w:val="24"/>
              </w:rPr>
              <w:t>1.</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kern w:val="0"/>
                <w:sz w:val="24"/>
                <w:szCs w:val="24"/>
              </w:rPr>
              <w:t>Snapdragon 650 64位六核 1.8GHz或以上</w:t>
            </w:r>
            <w:r>
              <w:rPr>
                <w:rFonts w:hint="eastAsia" w:ascii="宋体" w:hAnsi="宋体" w:eastAsia="宋体" w:cs="宋体"/>
                <w:sz w:val="24"/>
                <w:szCs w:val="24"/>
              </w:rPr>
              <w:t>（投标人需要提供图片证明材料）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内存≥ 2G RAM 存储 ≥16GB ROM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Android 8.0或以上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显示屏≥5.0英寸且≤5.2 英寸， 1280×720 分辨率或以上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▲5.</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可充电锂离子智能电池 4200mAh或以上；电池仓整体电池设计，支持不关机快速更换电池，更换电池无需关闭系统，只需关闭屏幕，保证不中断应用程序的使用。（投标人需要提供图片证明材料）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6.</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USB 2.0 OTG 连接器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提醒模式： LED、音频和振动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键盘：屏幕上键盘；home键、返回键不得为物理按键，减少故障率。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支持扬声器、麦克风和耳机连接器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10.</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支持VoWLAN；免费预装原厂语音对讲软件，支持升级原厂高级版本语音解决方案。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▲11.</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支持多种一维、二维条码扫描；并可支持一键扫描采集10个或以上条码的功能。（投标人需要提供图片证明材料）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支持重力传感器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内置自动对焦摄像头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可承受 500 次 0.5 米滚动冲击；达到甚至超过 IEC 滚动规格要求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15.</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医疗级机身，医疗行业配色，可耐受消毒剂擦拭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工作温度-10℃～50℃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存储温度 -40℃～70℃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kern w:val="0"/>
                <w:sz w:val="24"/>
                <w:szCs w:val="24"/>
              </w:rPr>
              <w:t>湿度 5%～95%（无冷凝）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封装标准≥IP65，并提供证明文件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传感器：光传感器：支持自动调整显示屏背光亮度；近距传感器：支持防止采用手持模式时意外按键。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989" w:type="dxa"/>
            <w:vMerge w:val="restart"/>
            <w:tcBorders>
              <w:top w:val="single" w:color="auto" w:sz="4" w:space="0"/>
              <w:left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21.</w:t>
            </w:r>
          </w:p>
        </w:tc>
        <w:tc>
          <w:tcPr>
            <w:tcW w:w="7800" w:type="dxa"/>
            <w:vMerge w:val="restart"/>
            <w:tcBorders>
              <w:top w:val="single" w:color="auto" w:sz="4" w:space="0"/>
              <w:left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无线网络：无线电：支持 IEEE® 802.11 a/b/g/n/ac/r，支持2.4G及5 G频段；达到2 x 2 MIMO或以上。（投标人需要提供图片证明材料）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989" w:type="dxa"/>
            <w:vMerge w:val="continue"/>
            <w:tcBorders>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sz w:val="24"/>
                <w:szCs w:val="24"/>
              </w:rPr>
            </w:pPr>
          </w:p>
        </w:tc>
        <w:tc>
          <w:tcPr>
            <w:tcW w:w="7800" w:type="dxa"/>
            <w:vMerge w:val="continue"/>
            <w:tcBorders>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安全性：支持旧式、WAP、WAP2 加密：WEP,TKIP和 AES,TLS,TTLS,PEAP,FAST。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信道 36～165（5180～5825MHz），信道 1～13（2412～2472MHz）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7800" w:type="dxa"/>
            <w:tcBorders>
              <w:top w:val="single" w:color="auto" w:sz="4" w:space="0"/>
              <w:left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重量：≤250克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支持开箱快速配置设备和部署应用，无需人工输入配置参数；支持限制用户只能使用移动护理软件，未授权情况下无权使用其他应用和系统资源（包括但不限于：系统设置，蓝牙，USB）。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26.</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手持设备PDA原厂可同时提供原厂单充底座和五连充充电底座配件（投标人需要提供图片证明材料）。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after="0" w:line="288" w:lineRule="auto"/>
              <w:jc w:val="left"/>
              <w:rPr>
                <w:rFonts w:ascii="宋体" w:hAnsi="宋体" w:eastAsia="宋体" w:cs="宋体"/>
                <w:kern w:val="0"/>
                <w:sz w:val="24"/>
                <w:szCs w:val="24"/>
              </w:rPr>
            </w:pPr>
            <w:r>
              <w:rPr>
                <w:rFonts w:hint="eastAsia" w:ascii="宋体" w:hAnsi="宋体" w:eastAsia="宋体" w:cs="宋体"/>
                <w:sz w:val="24"/>
                <w:szCs w:val="24"/>
              </w:rPr>
              <w:t>手持设备PDA须获得中国质量认证中心颁发的3C认证证书，投标人需提供证明材料。</w:t>
            </w:r>
          </w:p>
        </w:tc>
      </w:tr>
    </w:tbl>
    <w:p>
      <w:pPr>
        <w:pStyle w:val="10"/>
        <w:spacing w:beforeLines="50" w:after="0" w:line="360" w:lineRule="auto"/>
        <w:ind w:firstLine="0" w:firstLineChars="0"/>
        <w:rPr>
          <w:rFonts w:ascii="宋体" w:hAnsi="宋体" w:eastAsia="宋体" w:cs="宋体"/>
          <w:b/>
          <w:szCs w:val="24"/>
        </w:rPr>
      </w:pPr>
      <w:r>
        <w:rPr>
          <w:rFonts w:hint="eastAsia" w:ascii="宋体" w:hAnsi="宋体" w:eastAsia="宋体" w:cs="宋体"/>
          <w:b/>
          <w:szCs w:val="24"/>
        </w:rPr>
        <w:t>（三）护理移动推车（46台）</w:t>
      </w:r>
    </w:p>
    <w:tbl>
      <w:tblPr>
        <w:tblStyle w:val="7"/>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8"/>
        <w:gridCol w:w="1310"/>
        <w:gridCol w:w="6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blHeader/>
          <w:jc w:val="center"/>
        </w:trPr>
        <w:tc>
          <w:tcPr>
            <w:tcW w:w="900" w:type="dxa"/>
            <w:shd w:val="clear" w:color="auto" w:fill="E7E6E6"/>
            <w:vAlign w:val="center"/>
          </w:tcPr>
          <w:p>
            <w:pPr>
              <w:spacing w:after="0" w:line="288" w:lineRule="auto"/>
              <w:jc w:val="right"/>
              <w:rPr>
                <w:rFonts w:ascii="宋体" w:hAnsi="宋体" w:eastAsia="宋体" w:cs="宋体"/>
                <w:b/>
                <w:sz w:val="24"/>
                <w:szCs w:val="24"/>
              </w:rPr>
            </w:pPr>
            <w:r>
              <w:rPr>
                <w:rFonts w:hint="eastAsia" w:ascii="宋体" w:hAnsi="宋体" w:eastAsia="宋体" w:cs="宋体"/>
                <w:b/>
                <w:sz w:val="24"/>
                <w:szCs w:val="24"/>
              </w:rPr>
              <w:t>序号</w:t>
            </w:r>
          </w:p>
        </w:tc>
        <w:tc>
          <w:tcPr>
            <w:tcW w:w="618" w:type="dxa"/>
            <w:shd w:val="clear" w:color="auto" w:fill="E7E6E6"/>
            <w:vAlign w:val="center"/>
          </w:tcPr>
          <w:p>
            <w:pPr>
              <w:spacing w:after="0" w:line="288" w:lineRule="auto"/>
              <w:jc w:val="center"/>
              <w:rPr>
                <w:rFonts w:ascii="宋体" w:hAnsi="宋体" w:eastAsia="宋体" w:cs="宋体"/>
                <w:b/>
                <w:sz w:val="24"/>
                <w:szCs w:val="24"/>
              </w:rPr>
            </w:pPr>
            <w:r>
              <w:rPr>
                <w:rFonts w:hint="eastAsia" w:ascii="宋体" w:hAnsi="宋体" w:eastAsia="宋体" w:cs="宋体"/>
                <w:b/>
                <w:sz w:val="24"/>
                <w:szCs w:val="24"/>
              </w:rPr>
              <w:t>类别</w:t>
            </w:r>
          </w:p>
        </w:tc>
        <w:tc>
          <w:tcPr>
            <w:tcW w:w="1310" w:type="dxa"/>
            <w:shd w:val="clear" w:color="auto" w:fill="E7E6E6"/>
            <w:vAlign w:val="center"/>
          </w:tcPr>
          <w:p>
            <w:pPr>
              <w:spacing w:after="0" w:line="288" w:lineRule="auto"/>
              <w:jc w:val="center"/>
              <w:rPr>
                <w:rFonts w:ascii="宋体" w:hAnsi="宋体" w:eastAsia="宋体" w:cs="宋体"/>
                <w:b/>
                <w:sz w:val="24"/>
                <w:szCs w:val="24"/>
              </w:rPr>
            </w:pPr>
            <w:r>
              <w:rPr>
                <w:rFonts w:hint="eastAsia" w:ascii="宋体" w:hAnsi="宋体" w:eastAsia="宋体" w:cs="宋体"/>
                <w:b/>
                <w:sz w:val="24"/>
                <w:szCs w:val="24"/>
              </w:rPr>
              <w:t>指标项目</w:t>
            </w:r>
          </w:p>
        </w:tc>
        <w:tc>
          <w:tcPr>
            <w:tcW w:w="6050" w:type="dxa"/>
            <w:shd w:val="clear" w:color="auto" w:fill="E7E6E6"/>
            <w:vAlign w:val="center"/>
          </w:tcPr>
          <w:p>
            <w:pPr>
              <w:spacing w:after="0" w:line="288" w:lineRule="auto"/>
              <w:jc w:val="center"/>
              <w:rPr>
                <w:rFonts w:ascii="宋体" w:hAnsi="宋体" w:eastAsia="宋体" w:cs="宋体"/>
                <w:b/>
                <w:sz w:val="24"/>
                <w:szCs w:val="24"/>
              </w:rPr>
            </w:pPr>
            <w:r>
              <w:rPr>
                <w:rFonts w:hint="eastAsia" w:ascii="宋体" w:hAnsi="宋体" w:eastAsia="宋体" w:cs="宋体"/>
                <w:b/>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ind w:right="-46" w:rightChars="-22"/>
              <w:jc w:val="center"/>
              <w:rPr>
                <w:rFonts w:ascii="宋体" w:hAnsi="宋体" w:eastAsia="宋体" w:cs="宋体"/>
                <w:sz w:val="24"/>
                <w:szCs w:val="24"/>
              </w:rPr>
            </w:pPr>
            <w:r>
              <w:rPr>
                <w:rFonts w:hint="eastAsia" w:ascii="宋体" w:hAnsi="宋体" w:eastAsia="宋体" w:cs="宋体"/>
                <w:sz w:val="24"/>
                <w:szCs w:val="24"/>
              </w:rPr>
              <w:t>1.</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车体</w:t>
            </w: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整车重量</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整车重量≤55KG（不含挂件）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外形尺寸</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宽480 x深530 x高960mm（台面高度），尺寸允许±10mm偏离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扩展台面</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紧凑型设计，可隐藏在车体内部，使用时右侧拉出，尺寸宽350 x深270mm，尺寸允许±10mm偏离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控制面板指示</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一键开机状态指示灯，电池电量指示灯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▲5.</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台面把手</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为方便悬挂输液袋、胶片带等日常使用物品，要求把手为弧形结构设计，把手与台面相互独立，非全闭环一体设计。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6.</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vMerge w:val="restart"/>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工作台面</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尺寸：宽450x深430mm，尺寸允许±10mm偏离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▲7.</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vMerge w:val="continue"/>
            <w:shd w:val="clear" w:color="auto" w:fill="auto"/>
            <w:vAlign w:val="center"/>
          </w:tcPr>
          <w:p>
            <w:pPr>
              <w:adjustRightInd w:val="0"/>
              <w:snapToGrid w:val="0"/>
              <w:spacing w:after="0" w:line="288" w:lineRule="auto"/>
              <w:jc w:val="center"/>
              <w:rPr>
                <w:rFonts w:ascii="宋体" w:hAnsi="宋体" w:eastAsia="宋体" w:cs="宋体"/>
                <w:sz w:val="24"/>
                <w:szCs w:val="24"/>
              </w:rPr>
            </w:pP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为防止物品掉落，要求工作台面有围挡，围挡要求与工作台面一体成型，围挡高度≥20mm(提供推车台面围挡实物图片)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8.</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整车材质</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航空铝合金、不锈钢等优质防锈金属材料；车体表面抑菌处理，方便清洁；面板采用高光、高亮的ABS抑菌材料，耐受酒精、洗必泰、施康等医院常用消毒剂擦拭消毒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▲9.</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线缆</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整车线缆隐藏式设计（包含显示器电源线、数据线等），车体线缆无外露，并提供第三方权威机构出具的检测报告。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10.</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抽屉</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抽屉高度类型3个，插片式分区，可放置不同高度的耗材和工具；共5层抽屉；</w:t>
            </w:r>
          </w:p>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第一层键盘抽屉（宽390深290高65mm）；第二层抽屉（宽390深330高90mm）；第三层抽屉（宽390深330高90mm）；第四层抽屉（宽390深330高185mm）；第五层抽屉（宽390深330高215mm）抽屉尺寸允许±5mm偏离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11.</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生活垃圾桶</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外挂6.5升垃圾桶x1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12.</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医疗废物垃圾桶</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外挂6.5升垃圾桶x1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13.</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锐器盒</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外挂锐器盒x1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14.</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压脉带盒放置架</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压脉带盒放置架x1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15.</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手消液放置架</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手消液放置架x1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▲16.</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脚轮</w:t>
            </w: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脚轮</w:t>
            </w:r>
          </w:p>
        </w:tc>
        <w:tc>
          <w:tcPr>
            <w:tcW w:w="6050" w:type="dxa"/>
            <w:shd w:val="clear" w:color="auto" w:fill="auto"/>
            <w:vAlign w:val="center"/>
          </w:tcPr>
          <w:p>
            <w:pPr>
              <w:spacing w:after="0" w:line="288" w:lineRule="auto"/>
              <w:jc w:val="left"/>
              <w:rPr>
                <w:rFonts w:ascii="宋体" w:hAnsi="宋体" w:eastAsia="宋体" w:cs="宋体"/>
                <w:sz w:val="24"/>
                <w:szCs w:val="24"/>
              </w:rPr>
            </w:pPr>
            <w:r>
              <w:rPr>
                <w:rFonts w:hint="eastAsia" w:ascii="宋体" w:hAnsi="宋体" w:eastAsia="宋体" w:cs="宋体"/>
                <w:sz w:val="24"/>
                <w:szCs w:val="24"/>
              </w:rPr>
              <w:t>4个医疗级万向脚轮；2个前轮带刹车功能，超静音、防滑、防缠绕脚轮（提供国家产权机构颁发的关于具有刹车功能的万向轮的证明文件。）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17.</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制动方式</w:t>
            </w:r>
          </w:p>
        </w:tc>
        <w:tc>
          <w:tcPr>
            <w:tcW w:w="6050" w:type="dxa"/>
            <w:shd w:val="clear" w:color="auto" w:fill="auto"/>
            <w:vAlign w:val="center"/>
          </w:tcPr>
          <w:p>
            <w:pPr>
              <w:spacing w:after="0" w:line="288" w:lineRule="auto"/>
              <w:jc w:val="left"/>
              <w:rPr>
                <w:rFonts w:ascii="宋体" w:hAnsi="宋体" w:eastAsia="宋体" w:cs="宋体"/>
                <w:sz w:val="24"/>
                <w:szCs w:val="24"/>
              </w:rPr>
            </w:pPr>
            <w:r>
              <w:rPr>
                <w:rFonts w:hint="eastAsia" w:ascii="宋体" w:hAnsi="宋体" w:eastAsia="宋体" w:cs="宋体"/>
                <w:sz w:val="24"/>
                <w:szCs w:val="24"/>
              </w:rPr>
              <w:t>脚踏式刹车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18.</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电脑</w:t>
            </w: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电脑放置位置</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电脑主机为内嵌式设计，嵌入到车体中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19.</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CPU核芯</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酷睿Intel i5处理器或以上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20.</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内存</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21.</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硬盘</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固态硬盘≥128GB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22.</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无线网络</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外置WiFi 2x2MIMO天线，支持2.4G/5G双频网络，802.11 a/b/g/n/ac；在医院无线环境可无缝漫游；可与医院无线局域网络（5.8G WiFi）匹配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23.</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以太网端口</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10/100/1000Mbps x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24.</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外部接口</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USB2.0 x3，USB3.0 x 1，HDMI x 1；RS232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25.</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操作系统</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支持Windows7/8/10，32bit/64bit;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26.</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电源管理</w:t>
            </w:r>
          </w:p>
        </w:tc>
        <w:tc>
          <w:tcPr>
            <w:tcW w:w="6050" w:type="dxa"/>
            <w:shd w:val="clear" w:color="auto" w:fill="auto"/>
            <w:vAlign w:val="center"/>
          </w:tcPr>
          <w:p>
            <w:pPr>
              <w:adjustRightInd w:val="0"/>
              <w:snapToGrid w:val="0"/>
              <w:spacing w:after="0" w:line="288" w:lineRule="auto"/>
              <w:jc w:val="left"/>
              <w:rPr>
                <w:rFonts w:ascii="宋体" w:hAnsi="宋体" w:eastAsia="宋体" w:cs="宋体"/>
                <w:sz w:val="24"/>
                <w:szCs w:val="24"/>
              </w:rPr>
            </w:pPr>
            <w:r>
              <w:rPr>
                <w:rFonts w:hint="eastAsia" w:ascii="宋体" w:hAnsi="宋体" w:eastAsia="宋体" w:cs="宋体"/>
                <w:sz w:val="24"/>
                <w:szCs w:val="24"/>
              </w:rPr>
              <w:t>具有电源管理功能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27.</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电池</w:t>
            </w: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电池放置位置</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电池嵌入在车体底部，保持平衡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28.</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电池电芯</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磷酸铁锂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29.</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循环次数</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≥2000次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30.</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充电时间</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31.</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使用时间</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连续使用≥8小时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32.</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电源线</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采用外置插拔线缆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33.</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漏电保护</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具有外壳对地漏电电流保护、电击保护功能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▲34.</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电流电压保护</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具有过压、过流、欠压、过充、过放保护功能（提供国家产权机构颁发的关于输出电压可调节证明文件。）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35.</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电池拆卸</w:t>
            </w:r>
          </w:p>
        </w:tc>
        <w:tc>
          <w:tcPr>
            <w:tcW w:w="6050" w:type="dxa"/>
            <w:shd w:val="clear" w:color="auto" w:fill="auto"/>
            <w:vAlign w:val="center"/>
          </w:tcPr>
          <w:p>
            <w:pPr>
              <w:adjustRightInd w:val="0"/>
              <w:snapToGrid w:val="0"/>
              <w:spacing w:after="0" w:line="288" w:lineRule="auto"/>
              <w:jc w:val="left"/>
              <w:rPr>
                <w:rFonts w:ascii="宋体" w:hAnsi="宋体" w:eastAsia="宋体" w:cs="宋体"/>
                <w:b/>
                <w:sz w:val="24"/>
                <w:szCs w:val="24"/>
              </w:rPr>
            </w:pPr>
            <w:r>
              <w:rPr>
                <w:rFonts w:hint="eastAsia" w:ascii="宋体" w:hAnsi="宋体" w:eastAsia="宋体" w:cs="宋体"/>
                <w:sz w:val="24"/>
                <w:szCs w:val="24"/>
              </w:rPr>
              <w:t>支持手动拆卸、更换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36.</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电池管理</w:t>
            </w:r>
          </w:p>
        </w:tc>
        <w:tc>
          <w:tcPr>
            <w:tcW w:w="6050" w:type="dxa"/>
            <w:shd w:val="clear" w:color="auto" w:fill="auto"/>
            <w:vAlign w:val="center"/>
          </w:tcPr>
          <w:p>
            <w:pPr>
              <w:adjustRightInd w:val="0"/>
              <w:snapToGrid w:val="0"/>
              <w:spacing w:after="0" w:line="288" w:lineRule="auto"/>
              <w:jc w:val="left"/>
              <w:rPr>
                <w:rFonts w:ascii="宋体" w:hAnsi="宋体" w:eastAsia="宋体" w:cs="宋体"/>
                <w:sz w:val="24"/>
                <w:szCs w:val="24"/>
              </w:rPr>
            </w:pPr>
            <w:r>
              <w:rPr>
                <w:rFonts w:hint="eastAsia" w:ascii="宋体" w:hAnsi="宋体" w:eastAsia="宋体" w:cs="宋体"/>
                <w:sz w:val="24"/>
                <w:szCs w:val="24"/>
              </w:rPr>
              <w:t>具有电池管理功能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37.</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显示器</w:t>
            </w: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尺寸</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≥21.5" IPS屏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38.</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屏幕比例</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39.</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分辨率</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最佳分辨率≥1920×1080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40.</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支架调整角度</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≥270°全方位旋转；仰角≥60度，俯角≥5度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41.</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显示器支架</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支持显示器升降，升降范围≥50mm（提供国家产权机构颁发的显示器支架升降的证明文件。）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42.</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线缆隐藏舱</w:t>
            </w:r>
          </w:p>
        </w:tc>
        <w:tc>
          <w:tcPr>
            <w:tcW w:w="6050" w:type="dxa"/>
            <w:shd w:val="clear" w:color="auto" w:fill="auto"/>
            <w:vAlign w:val="center"/>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固定在显示器支架上，可完全贴合显示器后面板，可收纳显示器电源线及数据线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43.</w:t>
            </w:r>
          </w:p>
        </w:tc>
        <w:tc>
          <w:tcPr>
            <w:tcW w:w="618" w:type="dxa"/>
            <w:vMerge w:val="restart"/>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产品认证</w:t>
            </w:r>
          </w:p>
        </w:tc>
        <w:tc>
          <w:tcPr>
            <w:tcW w:w="1310" w:type="dxa"/>
            <w:shd w:val="clear" w:color="auto" w:fill="auto"/>
            <w:vAlign w:val="center"/>
          </w:tcPr>
          <w:p>
            <w:pPr>
              <w:adjustRightInd w:val="0"/>
              <w:snapToGrid w:val="0"/>
              <w:spacing w:after="0" w:line="288" w:lineRule="auto"/>
              <w:jc w:val="center"/>
              <w:rPr>
                <w:rFonts w:ascii="宋体" w:hAnsi="宋体" w:eastAsia="宋体" w:cs="宋体"/>
                <w:sz w:val="24"/>
                <w:szCs w:val="24"/>
              </w:rPr>
            </w:pPr>
            <w:r>
              <w:rPr>
                <w:rFonts w:hint="eastAsia" w:ascii="宋体" w:hAnsi="宋体" w:eastAsia="宋体" w:cs="宋体"/>
                <w:sz w:val="24"/>
                <w:szCs w:val="24"/>
              </w:rPr>
              <w:t>医用环境</w:t>
            </w:r>
          </w:p>
        </w:tc>
        <w:tc>
          <w:tcPr>
            <w:tcW w:w="6050" w:type="dxa"/>
            <w:shd w:val="clear" w:color="auto" w:fill="auto"/>
          </w:tcPr>
          <w:p>
            <w:pPr>
              <w:adjustRightInd w:val="0"/>
              <w:snapToGrid w:val="0"/>
              <w:spacing w:after="0" w:line="288" w:lineRule="auto"/>
              <w:rPr>
                <w:rFonts w:ascii="宋体" w:hAnsi="宋体" w:eastAsia="宋体" w:cs="宋体"/>
                <w:sz w:val="24"/>
                <w:szCs w:val="24"/>
              </w:rPr>
            </w:pPr>
            <w:r>
              <w:rPr>
                <w:rFonts w:hint="eastAsia" w:ascii="宋体" w:hAnsi="宋体" w:eastAsia="宋体" w:cs="宋体"/>
                <w:sz w:val="24"/>
                <w:szCs w:val="24"/>
              </w:rPr>
              <w:t>整车通过YY 0505:2012医用电气设备安全检测（需提供第三方机构出具的医用电气设备安全检测证明复印件，检测型号必须与投标型号一致。）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44.</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安全认证</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提供移动工作站整车CE、FCC、ROHS认证证书（需提供证书复印件，认证型号必须与投标型号一致。）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45.</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电池组安全</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整车电池通过GB 31241-2014便携式电池组安全检测（需提供第三方机构出具的检测证明复印件。）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46.</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电池运输安全</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整车电池通过危险货物运输UN38.3认证（需提供第三方机构出具的检测证明复印件。）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47.</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浪涌防护</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整车通过GB/T 17626.5浪涌（冲击）抗扰度试验检测（需提供第三方机构出具的浪涌（冲击）抗扰检测证明复印件，检测型号必须与投标型号一致。）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48.</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防水防尘</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整车通过防水防尘检测（需提供第三方机构出具的噪声检测证明复印件。）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49.</w:t>
            </w:r>
          </w:p>
        </w:tc>
        <w:tc>
          <w:tcPr>
            <w:tcW w:w="618" w:type="dxa"/>
            <w:vMerge w:val="continue"/>
            <w:shd w:val="clear" w:color="auto" w:fill="auto"/>
            <w:vAlign w:val="center"/>
          </w:tcPr>
          <w:p>
            <w:pPr>
              <w:spacing w:after="0" w:line="288" w:lineRule="auto"/>
              <w:jc w:val="center"/>
              <w:rPr>
                <w:rFonts w:ascii="宋体" w:hAnsi="宋体" w:eastAsia="宋体" w:cs="宋体"/>
                <w:sz w:val="24"/>
                <w:szCs w:val="24"/>
              </w:rPr>
            </w:pPr>
          </w:p>
        </w:tc>
        <w:tc>
          <w:tcPr>
            <w:tcW w:w="1310" w:type="dxa"/>
            <w:shd w:val="clear" w:color="auto" w:fill="auto"/>
            <w:vAlign w:val="center"/>
          </w:tcPr>
          <w:p>
            <w:pPr>
              <w:spacing w:after="0" w:line="288" w:lineRule="auto"/>
              <w:jc w:val="center"/>
              <w:rPr>
                <w:rFonts w:ascii="宋体" w:hAnsi="宋体" w:eastAsia="宋体" w:cs="宋体"/>
                <w:sz w:val="24"/>
                <w:szCs w:val="24"/>
              </w:rPr>
            </w:pPr>
            <w:r>
              <w:rPr>
                <w:rFonts w:hint="eastAsia" w:ascii="宋体" w:hAnsi="宋体" w:eastAsia="宋体" w:cs="宋体"/>
                <w:sz w:val="24"/>
                <w:szCs w:val="24"/>
              </w:rPr>
              <w:t>噪声检测</w:t>
            </w:r>
          </w:p>
        </w:tc>
        <w:tc>
          <w:tcPr>
            <w:tcW w:w="6050" w:type="dxa"/>
            <w:shd w:val="clear" w:color="auto" w:fill="auto"/>
            <w:vAlign w:val="center"/>
          </w:tcPr>
          <w:p>
            <w:pPr>
              <w:widowControl/>
              <w:spacing w:after="0" w:line="288" w:lineRule="auto"/>
              <w:jc w:val="left"/>
              <w:rPr>
                <w:rFonts w:ascii="宋体" w:hAnsi="宋体" w:eastAsia="宋体" w:cs="宋体"/>
                <w:sz w:val="24"/>
                <w:szCs w:val="24"/>
              </w:rPr>
            </w:pPr>
            <w:r>
              <w:rPr>
                <w:rFonts w:hint="eastAsia" w:ascii="宋体" w:hAnsi="宋体" w:eastAsia="宋体" w:cs="宋体"/>
                <w:sz w:val="24"/>
                <w:szCs w:val="24"/>
              </w:rPr>
              <w:t>整车通过18313-2001 声学信息技术设备和通信设备空气噪声的测量检测，且噪声值＜21dB（需提供第三方机构出具的噪声检测证明复印件，检测型号必须与投标型号一致。）</w:t>
            </w:r>
          </w:p>
        </w:tc>
      </w:tr>
    </w:tbl>
    <w:p>
      <w:pPr>
        <w:pStyle w:val="10"/>
        <w:spacing w:beforeLines="50" w:after="0" w:line="360" w:lineRule="auto"/>
        <w:ind w:firstLine="0" w:firstLineChars="0"/>
        <w:rPr>
          <w:rFonts w:ascii="宋体" w:hAnsi="宋体" w:eastAsia="宋体" w:cs="宋体"/>
          <w:b/>
          <w:szCs w:val="24"/>
        </w:rPr>
      </w:pPr>
      <w:r>
        <w:rPr>
          <w:rFonts w:hint="eastAsia" w:ascii="宋体" w:hAnsi="宋体" w:eastAsia="宋体" w:cs="宋体"/>
          <w:b/>
          <w:szCs w:val="24"/>
        </w:rPr>
        <w:t>（四）护理平板终端（30台）</w:t>
      </w:r>
    </w:p>
    <w:tbl>
      <w:tblPr>
        <w:tblStyle w:val="7"/>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54" w:type="dxa"/>
            <w:shd w:val="clear" w:color="auto" w:fill="EEECE1"/>
            <w:vAlign w:val="center"/>
          </w:tcPr>
          <w:p>
            <w:pPr>
              <w:pStyle w:val="11"/>
              <w:spacing w:after="0" w:line="240" w:lineRule="auto"/>
              <w:ind w:firstLine="0" w:firstLineChars="0"/>
              <w:jc w:val="center"/>
              <w:rPr>
                <w:rFonts w:ascii="宋体" w:hAnsi="宋体" w:eastAsia="宋体" w:cs="宋体"/>
                <w:b/>
                <w:sz w:val="24"/>
              </w:rPr>
            </w:pPr>
            <w:r>
              <w:rPr>
                <w:rFonts w:hint="eastAsia" w:ascii="宋体" w:hAnsi="宋体" w:eastAsia="宋体" w:cs="宋体"/>
                <w:b/>
                <w:sz w:val="24"/>
              </w:rPr>
              <w:t>序号</w:t>
            </w:r>
          </w:p>
        </w:tc>
        <w:tc>
          <w:tcPr>
            <w:tcW w:w="7991" w:type="dxa"/>
            <w:shd w:val="clear" w:color="auto" w:fill="EEECE1"/>
            <w:vAlign w:val="center"/>
          </w:tcPr>
          <w:p>
            <w:pPr>
              <w:pStyle w:val="11"/>
              <w:spacing w:after="0" w:line="240" w:lineRule="auto"/>
              <w:ind w:firstLine="0" w:firstLineChars="0"/>
              <w:jc w:val="center"/>
              <w:rPr>
                <w:rFonts w:ascii="宋体" w:hAnsi="宋体" w:eastAsia="宋体" w:cs="宋体"/>
                <w:b/>
                <w:sz w:val="24"/>
              </w:rPr>
            </w:pPr>
            <w:r>
              <w:rPr>
                <w:rFonts w:hint="eastAsia" w:ascii="宋体" w:hAnsi="宋体" w:eastAsia="宋体" w:cs="宋体"/>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1.</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处理器：≥八核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操作系统：Android 8.0或以上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内存：≥ 4G RAM 存储 ≥64GB 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显示屏：≥10.1英寸，10点G+G电容触摸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5.</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分辨率：≥2560*1600dpi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6.</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传输方式：WiFi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7.</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净重：不超过500g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8.</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电池容量：≥6000mAh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9.</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USB接口：Type-C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10.</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其他要求：指纹识别、脸部识别、护眼模式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4" w:type="dxa"/>
          </w:tcPr>
          <w:p>
            <w:pPr>
              <w:pStyle w:val="11"/>
              <w:spacing w:after="0" w:line="240" w:lineRule="auto"/>
              <w:ind w:firstLine="0" w:firstLineChars="0"/>
              <w:jc w:val="center"/>
              <w:rPr>
                <w:rFonts w:ascii="宋体" w:hAnsi="宋体" w:eastAsia="宋体" w:cs="宋体"/>
                <w:sz w:val="24"/>
              </w:rPr>
            </w:pPr>
            <w:r>
              <w:rPr>
                <w:rFonts w:hint="eastAsia" w:ascii="宋体" w:hAnsi="宋体" w:eastAsia="宋体" w:cs="宋体"/>
                <w:sz w:val="24"/>
              </w:rPr>
              <w:t>11.</w:t>
            </w:r>
          </w:p>
        </w:tc>
        <w:tc>
          <w:tcPr>
            <w:tcW w:w="7991" w:type="dxa"/>
            <w:vAlign w:val="center"/>
          </w:tcPr>
          <w:p>
            <w:pPr>
              <w:widowControl/>
              <w:spacing w:after="0" w:line="240" w:lineRule="auto"/>
              <w:jc w:val="left"/>
              <w:rPr>
                <w:rFonts w:ascii="宋体" w:hAnsi="宋体" w:eastAsia="宋体" w:cs="宋体"/>
                <w:kern w:val="0"/>
                <w:sz w:val="24"/>
                <w:szCs w:val="24"/>
              </w:rPr>
            </w:pPr>
            <w:r>
              <w:rPr>
                <w:rFonts w:hint="eastAsia" w:ascii="宋体" w:hAnsi="宋体" w:eastAsia="宋体" w:cs="宋体"/>
                <w:kern w:val="0"/>
                <w:sz w:val="24"/>
                <w:szCs w:val="24"/>
              </w:rPr>
              <w:t>系统权限管理：符合护理三级质控标准</w:t>
            </w:r>
          </w:p>
        </w:tc>
      </w:tr>
    </w:tbl>
    <w:p>
      <w:pPr>
        <w:pStyle w:val="10"/>
        <w:spacing w:beforeLines="50" w:after="0" w:line="360" w:lineRule="auto"/>
        <w:ind w:firstLine="0" w:firstLineChars="0"/>
        <w:rPr>
          <w:rFonts w:ascii="宋体" w:hAnsi="宋体" w:eastAsia="宋体" w:cs="宋体"/>
          <w:b/>
          <w:szCs w:val="24"/>
        </w:rPr>
      </w:pPr>
      <w:r>
        <w:rPr>
          <w:rFonts w:hint="eastAsia" w:ascii="宋体" w:hAnsi="宋体" w:eastAsia="宋体" w:cs="宋体"/>
          <w:b/>
          <w:szCs w:val="24"/>
        </w:rPr>
        <w:t>(五)智慧病房呼叫管理平台（1套）</w:t>
      </w:r>
    </w:p>
    <w:p>
      <w:pPr>
        <w:widowControl/>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1.设备一览管理</w:t>
      </w:r>
    </w:p>
    <w:p>
      <w:pPr>
        <w:widowControl/>
        <w:spacing w:after="0" w:line="360" w:lineRule="auto"/>
        <w:ind w:firstLine="240" w:firstLineChars="10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可快捷统计查询电子显示终端设备总数、在线数，状态可以查询更多详情；</w:t>
      </w:r>
    </w:p>
    <w:p>
      <w:pPr>
        <w:widowControl/>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2.电子显示终端模板管理</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模板设定：可新增、编辑、删除不同尺寸电子显示终端产品的显示模板参数；支持快捷查询和批量删除；</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模板列表：显示模板名称、模板宽度、模板高度、其他备注，可点击编辑或删除该条模板信息；</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新增/编辑模板：设定模板名称、宽、高（该三条为必填项），选择性设定模板是否翻转90°、是否渲染反转、是否颠倒、是否为双面屏显示、发布参数、其他备注</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版型设计：可新增、编辑、修改不同的模板类型的显示样式，支持自定义版型样式；课快捷查询和批量删除；</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版型列表：显示版型名称、版型尺寸、最新编辑日期，可点击编辑和删除该条版型设计信息；</w:t>
      </w:r>
    </w:p>
    <w:p>
      <w:pPr>
        <w:widowControl/>
        <w:numPr>
          <w:ilvl w:val="0"/>
          <w:numId w:val="8"/>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新增/编辑版型：控制版面可编辑版型名称、选择模板类型，可设置显示背景与待机图片；新增视图（自定义编辑区域）：可设定视图名称、视图类型（文字、文字数据、线条、图片、图片数据、API字段）、高度、宽度、位置（XY坐标）、序号、字体大小、字体样式、排列方式、是否换行、视图背景、默认文字内容；支持添加多个视图；</w:t>
      </w:r>
    </w:p>
    <w:p>
      <w:pPr>
        <w:widowControl/>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3.电子显示终端数据管理：选择群组，支持自定义编辑后选择设备更新；有数据接口的数据自动更新；</w:t>
      </w:r>
    </w:p>
    <w:p>
      <w:pPr>
        <w:widowControl/>
        <w:tabs>
          <w:tab w:val="left" w:pos="1260"/>
          <w:tab w:val="left" w:pos="1680"/>
        </w:tabs>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4.设备智能状态管理</w:t>
      </w:r>
    </w:p>
    <w:p>
      <w:pPr>
        <w:widowControl/>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5.AP管理：可新增、编辑和删除设定的AP信息；支持快捷查询和批量删除；</w:t>
      </w:r>
    </w:p>
    <w:p>
      <w:pPr>
        <w:widowControl/>
        <w:numPr>
          <w:ilvl w:val="0"/>
          <w:numId w:val="9"/>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编辑AP：AP名称、MAC地址、版本、蓝牙工作个数、其他备注；</w:t>
      </w:r>
    </w:p>
    <w:p>
      <w:pPr>
        <w:widowControl/>
        <w:numPr>
          <w:ilvl w:val="0"/>
          <w:numId w:val="9"/>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显示点管理：可预览当前设备更新画面，显示点列表可查看显示点名称、MAC地址、所属群组、所属病区/病床、工作及更新状态、最新更新时间；支持新增、编辑、删除、固件更新；支持快捷查询和批量删除；</w:t>
      </w:r>
    </w:p>
    <w:p>
      <w:pPr>
        <w:widowControl/>
        <w:numPr>
          <w:ilvl w:val="0"/>
          <w:numId w:val="9"/>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显示点管理编辑：显示点名称、群组绑定、展示组绑定，默认设备信息（MAC地址、版本号、序列号、IMEI、电量动态监测、蓝牙工作个数、其他信息）；</w:t>
      </w:r>
    </w:p>
    <w:p>
      <w:pPr>
        <w:widowControl/>
        <w:numPr>
          <w:ilvl w:val="0"/>
          <w:numId w:val="9"/>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群组设定：可将设备进行归类分组，绑定版型，方便设备分类别管理；群组列表显示群组名称、归属显示点数量、绑定版型名称、其他备注、最近编辑日期；支持新增、编辑和删除群组列表信息；支持快捷查询和批量删除；</w:t>
      </w:r>
    </w:p>
    <w:p>
      <w:pPr>
        <w:widowControl/>
        <w:numPr>
          <w:ilvl w:val="0"/>
          <w:numId w:val="9"/>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群组管理编辑：群组名称、绑定设备、绑定版型、其他备注；</w:t>
      </w:r>
    </w:p>
    <w:p>
      <w:pPr>
        <w:widowControl/>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6.智慧病房业务管理</w:t>
      </w:r>
    </w:p>
    <w:p>
      <w:pPr>
        <w:widowControl/>
        <w:numPr>
          <w:ilvl w:val="0"/>
          <w:numId w:val="10"/>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基础设置</w:t>
      </w:r>
    </w:p>
    <w:p>
      <w:pPr>
        <w:widowControl/>
        <w:numPr>
          <w:ilvl w:val="0"/>
          <w:numId w:val="11"/>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科别管理：对医院的科别进行管理，科别管理列表显示科别名称、科别别名、其他备注；支持新增、编辑和删除科别列表信息；支持快捷查询和批量删除；</w:t>
      </w:r>
    </w:p>
    <w:p>
      <w:pPr>
        <w:widowControl/>
        <w:numPr>
          <w:ilvl w:val="0"/>
          <w:numId w:val="11"/>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病床管理：设定病床基础信息，并绑定相对应的科别、护理站以及电子显示终端设备；科别管理列表显示病床编号、名称描述、从属护理站；数据列表支持新增、编辑和删除，支持快捷查询和批量删除；</w:t>
      </w:r>
    </w:p>
    <w:p>
      <w:pPr>
        <w:widowControl/>
        <w:numPr>
          <w:ilvl w:val="0"/>
          <w:numId w:val="11"/>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病房管理：设定病房基础信息，如床位信息、责任医护团队信息，并绑定相对应的科别护理站及电子显示终端设备；数据列表支持新增、编辑和删除，支持快捷查询和批量删除；</w:t>
      </w:r>
    </w:p>
    <w:p>
      <w:pPr>
        <w:widowControl/>
        <w:numPr>
          <w:ilvl w:val="0"/>
          <w:numId w:val="11"/>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护理站管理：设定科别护理站控台登录账号及密码信息，绑定该护理站科别的床位信息、病房信息、医护团队信息；数据列表支持新增、编辑和删除，支持快捷查询和批量删除；</w:t>
      </w:r>
    </w:p>
    <w:p>
      <w:pPr>
        <w:widowControl/>
        <w:numPr>
          <w:ilvl w:val="0"/>
          <w:numId w:val="10"/>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智慧病房人员管理</w:t>
      </w:r>
    </w:p>
    <w:p>
      <w:pPr>
        <w:widowControl/>
        <w:numPr>
          <w:ilvl w:val="0"/>
          <w:numId w:val="12"/>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医生管理：设定医生的基础信息，包括医生姓名、照片、员工编号、医生编号、职称、医生级别、专长，并绑定相对应的科别及护理站；数据列表支持新增、编辑和删除，支持快捷查询和批量删除；</w:t>
      </w:r>
    </w:p>
    <w:p>
      <w:pPr>
        <w:widowControl/>
        <w:numPr>
          <w:ilvl w:val="0"/>
          <w:numId w:val="12"/>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护士管理：设定护士的基础信息，包括护士姓名、照片、员工编号、护士编号，并设定操作权限，绑定相对应的科别及护理站；数据列表支持新增、编辑和删除，支持快捷查询和批量删除；</w:t>
      </w:r>
    </w:p>
    <w:p>
      <w:pPr>
        <w:widowControl/>
        <w:numPr>
          <w:ilvl w:val="0"/>
          <w:numId w:val="12"/>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护工管理：设定护工的基础信息，包括护工姓名、照片、性别、资历年限、联系电话，并绑定相对应的科别；数据列表支持新增、编辑和删除，支持快捷查询和批量删除；</w:t>
      </w:r>
    </w:p>
    <w:p>
      <w:pPr>
        <w:widowControl/>
        <w:numPr>
          <w:ilvl w:val="0"/>
          <w:numId w:val="10"/>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公告管理：可针对不同电子显示终端设备、在特定的设定时间内发布公告通知；</w:t>
      </w:r>
    </w:p>
    <w:p>
      <w:pPr>
        <w:widowControl/>
        <w:numPr>
          <w:ilvl w:val="0"/>
          <w:numId w:val="10"/>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进阶设置</w:t>
      </w:r>
    </w:p>
    <w:p>
      <w:pPr>
        <w:widowControl/>
        <w:numPr>
          <w:ilvl w:val="0"/>
          <w:numId w:val="13"/>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使用者管理：后台使用者管理，设置姓名、账号、绑定角色；数据列表支持新增、编辑和删除，支持快捷查询和批量删除；</w:t>
      </w:r>
    </w:p>
    <w:p>
      <w:pPr>
        <w:widowControl/>
        <w:numPr>
          <w:ilvl w:val="0"/>
          <w:numId w:val="13"/>
        </w:numPr>
        <w:spacing w:after="0" w:line="360" w:lineRule="auto"/>
        <w:ind w:firstLine="709"/>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角色管理：创建不同角色，并设定角色权限；数据列表支持新增、编辑和删除，支持快捷查询和批量删除；</w:t>
      </w:r>
    </w:p>
    <w:p>
      <w:pPr>
        <w:widowControl/>
        <w:spacing w:after="0" w:line="360" w:lineRule="auto"/>
        <w:rPr>
          <w:rFonts w:ascii="宋体" w:hAnsi="宋体" w:eastAsia="宋体" w:cs="宋体"/>
          <w:b/>
          <w:kern w:val="0"/>
          <w:sz w:val="24"/>
          <w:szCs w:val="24"/>
        </w:rPr>
      </w:pPr>
      <w:bookmarkStart w:id="3" w:name="_Toc52031336"/>
      <w:r>
        <w:rPr>
          <w:rFonts w:hint="eastAsia" w:ascii="宋体" w:hAnsi="宋体" w:eastAsia="宋体" w:cs="宋体"/>
          <w:bCs/>
          <w:snapToGrid w:val="0"/>
          <w:kern w:val="0"/>
          <w:sz w:val="24"/>
          <w:szCs w:val="24"/>
        </w:rPr>
        <w:t>7.病房呼叫</w:t>
      </w:r>
      <w:bookmarkEnd w:id="3"/>
    </w:p>
    <w:p>
      <w:pPr>
        <w:widowControl/>
        <w:numPr>
          <w:ilvl w:val="0"/>
          <w:numId w:val="14"/>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呼叫设置</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高级LED数字图形显示窗口，可显示时间、住院人数、呼叫信息、功能设置等；</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功能菜单数字图形表示，需说明书即可操作；</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和弦音乐，振铃时长、报号次数可选，音量、起止时间可选，振铃是否循环提示及循环方式可选；</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可与分机双向呼叫，双工通话；可多功能显示呼叫的分机号、呼叫顺序等；</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通过主机可设定分机护理级别；通过主机可在线设定分机、门灯号码；时间设定、显示；宣教广播、人工广播；</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系统可自动检测故障，故障排除后会自动恢复正常工作，方便维护。</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适用于高、超高档病房,功能强大，智能化程度高,配件齐全,多种显示能满足用户的所有需求。</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可配备副话机，副话机可振铃，便于及时处理分机的呼叫。</w:t>
      </w:r>
    </w:p>
    <w:p>
      <w:pPr>
        <w:widowControl/>
        <w:numPr>
          <w:ilvl w:val="0"/>
          <w:numId w:val="15"/>
        </w:numPr>
        <w:tabs>
          <w:tab w:val="left" w:pos="720"/>
        </w:tabs>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设有防雷、过压、过流、防静电、抗干扰等技术措施；耐热、耐湿性能好，环境适应能力强。</w:t>
      </w:r>
    </w:p>
    <w:p>
      <w:pPr>
        <w:widowControl/>
        <w:numPr>
          <w:ilvl w:val="0"/>
          <w:numId w:val="14"/>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病床分机设置</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与医院信息系统数据对接可实现医嘱、护嘱信息自动刷新；</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部分信息可以允许通过管理后台手动录入调整；</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显示住院患者基本信息：姓名、性别、年龄、住院号、入院日期、药物过敏、病人二维码等；</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支持显示相关管路数据信息；</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支持显示患者教育信息；</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支持当前呼叫状态显示；</w:t>
      </w:r>
    </w:p>
    <w:p>
      <w:pPr>
        <w:numPr>
          <w:ilvl w:val="0"/>
          <w:numId w:val="16"/>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重要护理信息提醒：如护理等级、防药物外渗、记尿量、防脱管等；</w:t>
      </w:r>
    </w:p>
    <w:p>
      <w:pPr>
        <w:widowControl/>
        <w:numPr>
          <w:ilvl w:val="0"/>
          <w:numId w:val="14"/>
        </w:numPr>
        <w:spacing w:after="0" w:line="360" w:lineRule="auto"/>
        <w:ind w:left="0" w:firstLine="567"/>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病房门口机设置</w:t>
      </w:r>
    </w:p>
    <w:p>
      <w:pPr>
        <w:numPr>
          <w:ilvl w:val="0"/>
          <w:numId w:val="17"/>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与医院信息系统进行数据对接，显示该病房相关责任医生、护士、床号等信息；</w:t>
      </w:r>
    </w:p>
    <w:p>
      <w:pPr>
        <w:numPr>
          <w:ilvl w:val="0"/>
          <w:numId w:val="17"/>
        </w:numPr>
        <w:spacing w:after="0" w:line="360" w:lineRule="auto"/>
        <w:ind w:left="567" w:firstLine="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动态显示该病区温湿度信息；</w:t>
      </w:r>
    </w:p>
    <w:p>
      <w:pPr>
        <w:numPr>
          <w:ilvl w:val="0"/>
          <w:numId w:val="17"/>
        </w:numPr>
        <w:spacing w:after="0" w:line="360" w:lineRule="auto"/>
        <w:ind w:left="567" w:firstLine="0"/>
        <w:rPr>
          <w:rFonts w:ascii="宋体" w:hAnsi="宋体" w:eastAsia="宋体" w:cs="宋体"/>
          <w:sz w:val="24"/>
          <w:szCs w:val="24"/>
        </w:rPr>
      </w:pPr>
      <w:r>
        <w:rPr>
          <w:rFonts w:hint="eastAsia" w:ascii="宋体" w:hAnsi="宋体" w:eastAsia="宋体" w:cs="宋体"/>
          <w:bCs/>
          <w:snapToGrid w:val="0"/>
          <w:kern w:val="0"/>
          <w:sz w:val="24"/>
          <w:szCs w:val="24"/>
        </w:rPr>
        <w:t>可根据现场环境定制外观（钣金），方便拆卸与清洁</w:t>
      </w:r>
      <w:r>
        <w:rPr>
          <w:rFonts w:hint="eastAsia" w:ascii="宋体" w:hAnsi="宋体" w:eastAsia="宋体" w:cs="宋体"/>
          <w:b/>
          <w:snapToGrid w:val="0"/>
          <w:kern w:val="0"/>
          <w:sz w:val="24"/>
          <w:szCs w:val="24"/>
        </w:rPr>
        <w:t>；</w:t>
      </w:r>
    </w:p>
    <w:p>
      <w:pPr>
        <w:spacing w:after="0" w:line="360" w:lineRule="auto"/>
        <w:rPr>
          <w:rFonts w:ascii="宋体" w:hAnsi="宋体" w:eastAsia="宋体" w:cs="宋体"/>
          <w:b/>
          <w:kern w:val="0"/>
          <w:sz w:val="24"/>
          <w:szCs w:val="24"/>
        </w:rPr>
      </w:pPr>
      <w:bookmarkStart w:id="4" w:name="_Toc52031334"/>
      <w:bookmarkStart w:id="5" w:name="_Hlk28264420"/>
      <w:r>
        <w:rPr>
          <w:rFonts w:hint="eastAsia" w:ascii="宋体" w:hAnsi="宋体" w:eastAsia="宋体" w:cs="宋体"/>
          <w:b/>
          <w:kern w:val="0"/>
          <w:sz w:val="24"/>
          <w:szCs w:val="24"/>
        </w:rPr>
        <w:t>(六) 病床</w:t>
      </w:r>
      <w:bookmarkStart w:id="6" w:name="_Hlk28264509"/>
      <w:bookmarkEnd w:id="4"/>
      <w:bookmarkEnd w:id="5"/>
      <w:r>
        <w:rPr>
          <w:rFonts w:hint="eastAsia" w:ascii="宋体" w:hAnsi="宋体" w:eastAsia="宋体" w:cs="宋体"/>
          <w:b/>
          <w:kern w:val="0"/>
          <w:sz w:val="24"/>
          <w:szCs w:val="24"/>
        </w:rPr>
        <w:t>分机（含呼叫器）（570台）</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70"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屏幕尺寸≥7.4寸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点阵电子显示终端，三色(黑色/白色/红色)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3</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屏幕分辨率800*480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4</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显示区域96.96*161.6mm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5</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可视角度接近180°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6</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像素密度126dpi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7</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射频参数BT2.4GHz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8</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背板安装方式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9</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工作电压3.0V(最小值：2.0V)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10</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工作温度 10°C～40°C（非工作可不受温度限制）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11</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电池6颗CR2450并联（单颗规格：3.0V，600mAh)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12</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电池电量可保证不低于3年的电量使用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13</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整机寿命质保3年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14</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硬件加密＆软件签名加密方式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15</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发射功率 0dBm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16</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接收炅敏度 -85dBm(受天线以及实际坏境影响以实测为准）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17</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NFC  ISO/IEC 15693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18</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LED提示灯。红黄绿三色提示灯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19</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呼叫分机支持双工对讲，指示灯提示叫通，呼叫清除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20</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内插拔式呼叫开关线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21</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自动语音提示功能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22</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设备带安装</w:t>
            </w:r>
          </w:p>
        </w:tc>
      </w:tr>
    </w:tbl>
    <w:p>
      <w:pPr>
        <w:pStyle w:val="5"/>
        <w:spacing w:after="0"/>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(七) 病房门口机（含紧急呼叫按钮）（182台）</w:t>
      </w:r>
    </w:p>
    <w:p>
      <w:pPr>
        <w:widowControl/>
        <w:numPr>
          <w:ilvl w:val="0"/>
          <w:numId w:val="18"/>
        </w:numPr>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病房门口屏硬件参数要求</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shd w:val="clear" w:color="auto" w:fill="EDEDED" w:themeFill="accent3" w:themeFillTint="32"/>
          </w:tcPr>
          <w:p>
            <w:pPr>
              <w:pStyle w:val="11"/>
              <w:spacing w:after="0" w:line="240" w:lineRule="auto"/>
              <w:ind w:firstLine="0" w:firstLineChars="0"/>
              <w:jc w:val="right"/>
              <w:rPr>
                <w:rFonts w:ascii="宋体" w:hAnsi="宋体" w:eastAsia="宋体" w:cs="宋体"/>
                <w:bCs/>
                <w:sz w:val="24"/>
              </w:rPr>
            </w:pPr>
            <w:r>
              <w:rPr>
                <w:rFonts w:hint="eastAsia" w:ascii="宋体" w:hAnsi="宋体" w:eastAsia="宋体" w:cs="宋体"/>
                <w:bCs/>
                <w:sz w:val="24"/>
              </w:rPr>
              <w:t>序号</w:t>
            </w:r>
          </w:p>
        </w:tc>
        <w:tc>
          <w:tcPr>
            <w:tcW w:w="7470"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屏幕尺寸12.2寸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2</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点阵电子显示终端，三色(黑色/白色/红色)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3</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屏幕分辨率960*768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4</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显示区域237.6*190.0mm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5</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可视角度接近180°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6</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像素密度126dpi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7</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射频参数BT2.4GHz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8</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背板安装方式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9</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工作电压3.0V(最小值：2.0V)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10</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工作温度 10°C～40°C（非工作可不受温度限制）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11</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电池12颗CR2450并联（单颗规格：3.0V，600mAh)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12</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电池电量可保证不低于3年的电量使用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13</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整机寿命质保3年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14</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硬件加密＆软件签名加密方式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15</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发射功率 0dBm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16</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接收炅敏度 -85dBm(受天线以及实际坏境影响以实测为准）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17</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NFC  ISO/IEC 15693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18</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LED提示灯。红绿蓝（RGB）三色提示灯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0" w:type="dxa"/>
          </w:tcPr>
          <w:p>
            <w:pPr>
              <w:widowControl/>
              <w:spacing w:after="0" w:line="240" w:lineRule="auto"/>
              <w:jc w:val="center"/>
              <w:rPr>
                <w:rFonts w:ascii="宋体" w:hAnsi="宋体" w:eastAsia="宋体" w:cs="宋体"/>
                <w:bCs/>
                <w:sz w:val="24"/>
                <w:szCs w:val="24"/>
              </w:rPr>
            </w:pPr>
            <w:r>
              <w:rPr>
                <w:rFonts w:hint="eastAsia" w:ascii="宋体" w:hAnsi="宋体" w:eastAsia="宋体" w:cs="宋体"/>
                <w:bCs/>
                <w:sz w:val="24"/>
                <w:szCs w:val="24"/>
              </w:rPr>
              <w:t>19</w:t>
            </w:r>
          </w:p>
        </w:tc>
        <w:tc>
          <w:tcPr>
            <w:tcW w:w="7470"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按鈕支持LED开关功能</w:t>
            </w:r>
          </w:p>
        </w:tc>
      </w:tr>
    </w:tbl>
    <w:p>
      <w:pPr>
        <w:widowControl/>
        <w:spacing w:after="0" w:line="360" w:lineRule="auto"/>
        <w:rPr>
          <w:rFonts w:ascii="宋体" w:hAnsi="宋体" w:eastAsia="宋体" w:cs="宋体"/>
          <w:bCs/>
          <w:snapToGrid w:val="0"/>
          <w:kern w:val="0"/>
          <w:sz w:val="24"/>
          <w:szCs w:val="24"/>
        </w:rPr>
      </w:pPr>
    </w:p>
    <w:p>
      <w:pPr>
        <w:widowControl/>
        <w:numPr>
          <w:ilvl w:val="0"/>
          <w:numId w:val="18"/>
        </w:numPr>
        <w:spacing w:after="0" w:line="360" w:lineRule="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紧急呼叫按钮机参数要求</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64"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紧急情况的呼叫设计，优先级最高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86盒安装，防水、防水设计，适合卫生间、淋浴间等潮湿环境使用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3</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醒目大按键设计，可一键呼叫或清除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4</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呼叫时有明显的声光报警提示，同时护士站主机和走廊点阵屏会显示卫生间分机号码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5</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按键、拉绳两用报警方式，安装位置偏高也能轻松触发呼叫</w:t>
            </w:r>
          </w:p>
        </w:tc>
      </w:tr>
    </w:tbl>
    <w:p>
      <w:pPr>
        <w:pStyle w:val="5"/>
        <w:spacing w:after="0"/>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(八) 护士站主机（16台）</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64"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sz w:val="24"/>
                <w:szCs w:val="24"/>
              </w:rPr>
              <w:t>≥</w:t>
            </w:r>
            <w:r>
              <w:rPr>
                <w:rFonts w:hint="eastAsia" w:ascii="宋体" w:hAnsi="宋体" w:eastAsia="宋体" w:cs="宋体"/>
                <w:bCs/>
                <w:kern w:val="0"/>
                <w:sz w:val="24"/>
                <w:szCs w:val="24"/>
              </w:rPr>
              <w:t>10.1英寸电容显示屏，屏幕分辨率</w:t>
            </w:r>
            <w:r>
              <w:rPr>
                <w:rFonts w:hint="eastAsia" w:ascii="宋体" w:hAnsi="宋体" w:eastAsia="宋体" w:cs="宋体"/>
                <w:bCs/>
                <w:sz w:val="24"/>
                <w:szCs w:val="24"/>
              </w:rPr>
              <w:t>≥</w:t>
            </w:r>
            <w:r>
              <w:rPr>
                <w:rFonts w:hint="eastAsia" w:ascii="宋体" w:hAnsi="宋体" w:eastAsia="宋体" w:cs="宋体"/>
                <w:bCs/>
                <w:kern w:val="0"/>
                <w:sz w:val="24"/>
                <w:szCs w:val="24"/>
              </w:rPr>
              <w:t>1280*800，触摸操作，高清高亮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专用嵌入式系统，采用TCP、UDP、FTP、SIP等多种网络协议，保证系统运行的稳定和流畅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3</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显示电子版床位一览表，最大支持240床位，床位列表大小支持自定义调整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4</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可自动同步更新病人信息和其他自定义要显示的内容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5</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可与任意分机、门口机、医护分机实现双工对讲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kern w:val="0"/>
                <w:sz w:val="24"/>
              </w:rPr>
            </w:pPr>
            <w:r>
              <w:rPr>
                <w:rFonts w:hint="eastAsia" w:ascii="宋体" w:hAnsi="宋体" w:eastAsia="宋体" w:cs="宋体"/>
                <w:bCs/>
                <w:kern w:val="0"/>
                <w:sz w:val="24"/>
              </w:rPr>
              <w:t>6</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支持自定义设置、显示、播报床位别名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7</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支持病区话筒广播和呼叫通话，最高可同时显示并播报30门分机的呼叫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8</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支持呼叫信息上传至服务器软件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9</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支持护理级别自定义显示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10</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可根据时间段调节白天、夜间的呼叫提示音量和通话音量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11</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支持门禁互联，视频通话</w:t>
            </w:r>
          </w:p>
        </w:tc>
      </w:tr>
    </w:tbl>
    <w:p>
      <w:pPr>
        <w:pStyle w:val="5"/>
        <w:spacing w:after="0"/>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(九) 走廊显示屏（32台）</w:t>
      </w:r>
    </w:p>
    <w:bookmarkEnd w:id="6"/>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bookmarkStart w:id="7" w:name="_Toc18798"/>
            <w:bookmarkStart w:id="8" w:name="_Toc52031337"/>
            <w:r>
              <w:rPr>
                <w:rFonts w:hint="eastAsia" w:ascii="宋体" w:hAnsi="宋体" w:eastAsia="宋体" w:cs="宋体"/>
                <w:bCs/>
                <w:sz w:val="24"/>
              </w:rPr>
              <w:t>序号</w:t>
            </w:r>
          </w:p>
        </w:tc>
        <w:tc>
          <w:tcPr>
            <w:tcW w:w="7464"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双面Φ3.75高亮点阵屏，超薄设计，可双面显示2行*8个汉字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时钟统一功能，通过主机自动调整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3</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常态下显示时间、日期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4</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病房呼叫时，循环显示呼叫内容。卫生间紧急呼叫时，能显示呼叫的房间号和呼叫类型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5</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支持显示护士定位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6</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支持广告、温馨提示等内容显示</w:t>
            </w:r>
          </w:p>
        </w:tc>
      </w:tr>
    </w:tbl>
    <w:p>
      <w:pPr>
        <w:spacing w:after="0" w:line="360" w:lineRule="auto"/>
        <w:rPr>
          <w:rFonts w:ascii="宋体" w:hAnsi="宋体" w:eastAsia="宋体" w:cs="宋体"/>
          <w:b/>
          <w:kern w:val="0"/>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(十) 多媒体信息发布大屏（16台）</w:t>
      </w:r>
    </w:p>
    <w:tbl>
      <w:tblPr>
        <w:tblStyle w:val="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988"/>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shd w:val="clear" w:color="auto" w:fill="EDEDED" w:themeFill="accent3" w:themeFillTint="32"/>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25" w:type="dxa"/>
            <w:gridSpan w:val="2"/>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屏幕级别</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工业级A规屏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2</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屏幕尺寸</w:t>
            </w:r>
          </w:p>
        </w:tc>
        <w:tc>
          <w:tcPr>
            <w:tcW w:w="5437" w:type="dxa"/>
            <w:vAlign w:val="center"/>
          </w:tcPr>
          <w:p>
            <w:pPr>
              <w:tabs>
                <w:tab w:val="left" w:pos="9922"/>
              </w:tabs>
              <w:spacing w:after="0" w:line="240" w:lineRule="auto"/>
              <w:ind w:right="-1"/>
              <w:rPr>
                <w:rFonts w:ascii="宋体" w:hAnsi="宋体" w:eastAsia="宋体" w:cs="宋体"/>
                <w:bCs/>
                <w:kern w:val="0"/>
                <w:sz w:val="24"/>
                <w:szCs w:val="24"/>
              </w:rPr>
            </w:pPr>
            <w:r>
              <w:rPr>
                <w:rFonts w:hint="eastAsia" w:ascii="宋体" w:hAnsi="宋体" w:eastAsia="宋体" w:cs="宋体"/>
                <w:bCs/>
                <w:sz w:val="24"/>
                <w:szCs w:val="24"/>
              </w:rPr>
              <w:t>≥</w:t>
            </w:r>
            <w:r>
              <w:rPr>
                <w:rFonts w:hint="eastAsia" w:ascii="宋体" w:hAnsi="宋体" w:eastAsia="宋体" w:cs="宋体"/>
                <w:bCs/>
                <w:kern w:val="0"/>
                <w:sz w:val="24"/>
                <w:szCs w:val="24"/>
              </w:rPr>
              <w:t>65″  16: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3</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单屏显示尺寸</w:t>
            </w:r>
          </w:p>
        </w:tc>
        <w:tc>
          <w:tcPr>
            <w:tcW w:w="5437" w:type="dxa"/>
            <w:vAlign w:val="center"/>
          </w:tcPr>
          <w:p>
            <w:pPr>
              <w:tabs>
                <w:tab w:val="left" w:pos="9922"/>
              </w:tabs>
              <w:spacing w:after="0" w:line="240" w:lineRule="auto"/>
              <w:ind w:right="-1"/>
              <w:rPr>
                <w:rFonts w:ascii="宋体" w:hAnsi="宋体" w:eastAsia="宋体" w:cs="宋体"/>
                <w:bCs/>
                <w:kern w:val="0"/>
                <w:sz w:val="24"/>
                <w:szCs w:val="24"/>
              </w:rPr>
            </w:pPr>
            <w:r>
              <w:rPr>
                <w:rFonts w:hint="eastAsia" w:ascii="宋体" w:hAnsi="宋体" w:eastAsia="宋体" w:cs="宋体"/>
                <w:bCs/>
                <w:kern w:val="0"/>
                <w:sz w:val="24"/>
                <w:szCs w:val="24"/>
              </w:rPr>
              <w:t>1208（W）*679（H）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4</w:t>
            </w:r>
          </w:p>
        </w:tc>
        <w:tc>
          <w:tcPr>
            <w:tcW w:w="1988" w:type="dxa"/>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背光类型</w:t>
            </w:r>
          </w:p>
        </w:tc>
        <w:tc>
          <w:tcPr>
            <w:tcW w:w="5437" w:type="dxa"/>
          </w:tcPr>
          <w:p>
            <w:pPr>
              <w:spacing w:after="0" w:line="240" w:lineRule="auto"/>
              <w:rPr>
                <w:rFonts w:ascii="宋体" w:hAnsi="宋体" w:eastAsia="宋体" w:cs="宋体"/>
                <w:bCs/>
                <w:kern w:val="0"/>
                <w:sz w:val="24"/>
                <w:szCs w:val="24"/>
              </w:rPr>
            </w:pPr>
            <w:r>
              <w:rPr>
                <w:rFonts w:hint="eastAsia" w:ascii="宋体" w:hAnsi="宋体" w:eastAsia="宋体" w:cs="宋体"/>
                <w:bCs/>
                <w:kern w:val="0"/>
                <w:sz w:val="24"/>
                <w:szCs w:val="24"/>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5</w:t>
            </w:r>
          </w:p>
        </w:tc>
        <w:tc>
          <w:tcPr>
            <w:tcW w:w="1988" w:type="dxa"/>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点距</w:t>
            </w:r>
          </w:p>
        </w:tc>
        <w:tc>
          <w:tcPr>
            <w:tcW w:w="5437" w:type="dxa"/>
          </w:tcPr>
          <w:p>
            <w:pPr>
              <w:spacing w:after="0" w:line="240" w:lineRule="auto"/>
              <w:rPr>
                <w:rFonts w:ascii="宋体" w:hAnsi="宋体" w:eastAsia="宋体" w:cs="宋体"/>
                <w:bCs/>
                <w:kern w:val="0"/>
                <w:sz w:val="24"/>
                <w:szCs w:val="24"/>
              </w:rPr>
            </w:pPr>
            <w:r>
              <w:rPr>
                <w:rFonts w:hint="eastAsia" w:ascii="宋体" w:hAnsi="宋体" w:eastAsia="宋体" w:cs="宋体"/>
                <w:bCs/>
                <w:kern w:val="0"/>
                <w:sz w:val="24"/>
                <w:szCs w:val="24"/>
              </w:rPr>
              <w:t>0.4845(H)×0.4845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6</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物理分辨率</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1920x1080；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7</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视角</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178(H)/178(V)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8</w:t>
            </w:r>
          </w:p>
        </w:tc>
        <w:tc>
          <w:tcPr>
            <w:tcW w:w="1988" w:type="dxa"/>
          </w:tcPr>
          <w:p>
            <w:pPr>
              <w:spacing w:after="0" w:line="240" w:lineRule="auto"/>
              <w:jc w:val="center"/>
              <w:rPr>
                <w:rFonts w:ascii="宋体" w:hAnsi="宋体" w:eastAsia="宋体" w:cs="宋体"/>
                <w:bCs/>
                <w:kern w:val="0"/>
                <w:sz w:val="24"/>
                <w:szCs w:val="24"/>
              </w:rPr>
            </w:pPr>
            <w:r>
              <w:rPr>
                <w:rFonts w:hint="eastAsia" w:ascii="宋体" w:hAnsi="宋体" w:eastAsia="宋体" w:cs="宋体"/>
                <w:bCs/>
                <w:kern w:val="0"/>
                <w:sz w:val="24"/>
                <w:szCs w:val="24"/>
              </w:rPr>
              <w:t>色彩深度</w:t>
            </w:r>
          </w:p>
        </w:tc>
        <w:tc>
          <w:tcPr>
            <w:tcW w:w="5437" w:type="dxa"/>
          </w:tcPr>
          <w:p>
            <w:pPr>
              <w:spacing w:after="0" w:line="240" w:lineRule="auto"/>
              <w:rPr>
                <w:rFonts w:ascii="宋体" w:hAnsi="宋体" w:eastAsia="宋体" w:cs="宋体"/>
                <w:bCs/>
                <w:kern w:val="0"/>
                <w:sz w:val="24"/>
                <w:szCs w:val="24"/>
              </w:rPr>
            </w:pPr>
            <w:r>
              <w:rPr>
                <w:rFonts w:hint="eastAsia" w:ascii="宋体" w:hAnsi="宋体" w:eastAsia="宋体" w:cs="宋体"/>
                <w:bCs/>
                <w:kern w:val="0"/>
                <w:sz w:val="24"/>
                <w:szCs w:val="24"/>
              </w:rPr>
              <w:t>16.7M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9</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亮度/对比度</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450cd /50</w:t>
            </w:r>
            <w:r>
              <w:rPr>
                <w:rFonts w:hint="eastAsia" w:ascii="宋体" w:hAnsi="宋体" w:eastAsia="宋体" w:cs="宋体"/>
                <w:bCs/>
                <w:kern w:val="0"/>
                <w:sz w:val="24"/>
                <w:szCs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10</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响应时间</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≤5.0毫秒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11</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主板类型</w:t>
            </w:r>
          </w:p>
        </w:tc>
        <w:tc>
          <w:tcPr>
            <w:tcW w:w="5437" w:type="dxa"/>
            <w:vAlign w:val="center"/>
          </w:tcPr>
          <w:p>
            <w:pPr>
              <w:spacing w:after="0" w:line="240" w:lineRule="auto"/>
              <w:rPr>
                <w:rFonts w:ascii="宋体" w:hAnsi="宋体" w:eastAsia="宋体" w:cs="宋体"/>
                <w:bCs/>
                <w:kern w:val="0"/>
                <w:sz w:val="24"/>
                <w:szCs w:val="24"/>
              </w:rPr>
            </w:pPr>
            <w:r>
              <w:rPr>
                <w:rFonts w:hint="eastAsia" w:ascii="宋体" w:hAnsi="宋体" w:eastAsia="宋体" w:cs="宋体"/>
                <w:bCs/>
                <w:kern w:val="0"/>
                <w:sz w:val="24"/>
                <w:szCs w:val="24"/>
              </w:rPr>
              <w:t>安卓7.1系统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12</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接口</w:t>
            </w:r>
          </w:p>
        </w:tc>
        <w:tc>
          <w:tcPr>
            <w:tcW w:w="5437" w:type="dxa"/>
            <w:vAlign w:val="center"/>
          </w:tcPr>
          <w:p>
            <w:pPr>
              <w:spacing w:after="0" w:line="240" w:lineRule="auto"/>
              <w:rPr>
                <w:rFonts w:ascii="宋体" w:hAnsi="宋体" w:eastAsia="宋体" w:cs="宋体"/>
                <w:bCs/>
                <w:kern w:val="0"/>
                <w:sz w:val="24"/>
                <w:szCs w:val="24"/>
              </w:rPr>
            </w:pPr>
            <w:r>
              <w:rPr>
                <w:rFonts w:hint="eastAsia" w:ascii="宋体" w:hAnsi="宋体" w:eastAsia="宋体" w:cs="宋体"/>
                <w:bCs/>
                <w:kern w:val="0"/>
                <w:sz w:val="24"/>
                <w:szCs w:val="24"/>
              </w:rPr>
              <w:t>1×RJ45网络接口；2×USB接口wifi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13</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系统喇叭</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2 x 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14</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电源</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AC 100-240V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15</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功耗</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16</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工作温度</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17</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无故障工作小时</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适应365*7*24小时不间断稳定工作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18</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使用寿命</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60000小时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19</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操作系统</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安卓7.1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20</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质量、环保认证</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通过CCC、CE、FC认证；RoHS环保认证。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21</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安装方式</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4"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22</w:t>
            </w:r>
          </w:p>
        </w:tc>
        <w:tc>
          <w:tcPr>
            <w:tcW w:w="1988" w:type="dxa"/>
            <w:vAlign w:val="center"/>
          </w:tcPr>
          <w:p>
            <w:pPr>
              <w:tabs>
                <w:tab w:val="left" w:pos="9922"/>
              </w:tabs>
              <w:spacing w:after="0" w:line="240" w:lineRule="auto"/>
              <w:ind w:right="-1"/>
              <w:jc w:val="center"/>
              <w:rPr>
                <w:rFonts w:ascii="宋体" w:hAnsi="宋体" w:eastAsia="宋体" w:cs="宋体"/>
                <w:bCs/>
                <w:sz w:val="24"/>
                <w:szCs w:val="24"/>
              </w:rPr>
            </w:pPr>
            <w:r>
              <w:rPr>
                <w:rFonts w:hint="eastAsia" w:ascii="宋体" w:hAnsi="宋体" w:eastAsia="宋体" w:cs="宋体"/>
                <w:bCs/>
                <w:sz w:val="24"/>
                <w:szCs w:val="24"/>
              </w:rPr>
              <w:t>红外触摸</w:t>
            </w:r>
          </w:p>
        </w:tc>
        <w:tc>
          <w:tcPr>
            <w:tcW w:w="5437" w:type="dxa"/>
            <w:vAlign w:val="center"/>
          </w:tcPr>
          <w:p>
            <w:pPr>
              <w:tabs>
                <w:tab w:val="left" w:pos="9922"/>
              </w:tabs>
              <w:spacing w:after="0" w:line="240" w:lineRule="auto"/>
              <w:ind w:right="-1"/>
              <w:rPr>
                <w:rFonts w:ascii="宋体" w:hAnsi="宋体" w:eastAsia="宋体" w:cs="宋体"/>
                <w:bCs/>
                <w:sz w:val="24"/>
                <w:szCs w:val="24"/>
              </w:rPr>
            </w:pPr>
            <w:r>
              <w:rPr>
                <w:rFonts w:hint="eastAsia" w:ascii="宋体" w:hAnsi="宋体" w:eastAsia="宋体" w:cs="宋体"/>
                <w:bCs/>
                <w:sz w:val="24"/>
                <w:szCs w:val="24"/>
              </w:rPr>
              <w:t>六点</w:t>
            </w:r>
          </w:p>
        </w:tc>
      </w:tr>
    </w:tbl>
    <w:p>
      <w:pPr>
        <w:pStyle w:val="5"/>
        <w:spacing w:after="0"/>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(十一) 电子床尾卡(570台)</w:t>
      </w:r>
    </w:p>
    <w:tbl>
      <w:tblPr>
        <w:tblStyle w:val="7"/>
        <w:tblW w:w="8467"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170"/>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365" w:type="dxa"/>
            <w:gridSpan w:val="2"/>
            <w:vAlign w:val="center"/>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1</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屏幕尺寸</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≥4.2寸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▲2</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显示效果</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EPD电子屏，三色(黑色/白色/红色)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3</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分辨率</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≥480*800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4</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像素密度</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≥126dpi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5</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射频参数</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≥BT2.4GHz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6</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防护等级</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整机≥IP64，表面可消毒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7</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安装方式</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8</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工作电压</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≤3.0V(最小值：2.0V)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9</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电池</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≥4颗（单颗规格：3.0V，≥600mAh)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10</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电池电量</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可保证不低于3年的电量使用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11</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NFC</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ISO/IEC 15693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2" w:type="dxa"/>
          </w:tcPr>
          <w:p>
            <w:pPr>
              <w:snapToGrid w:val="0"/>
              <w:spacing w:line="240" w:lineRule="auto"/>
              <w:jc w:val="center"/>
              <w:rPr>
                <w:rFonts w:ascii="宋体" w:hAnsi="宋体" w:eastAsia="宋体" w:cs="宋体"/>
                <w:sz w:val="24"/>
                <w:szCs w:val="24"/>
              </w:rPr>
            </w:pPr>
            <w:r>
              <w:rPr>
                <w:rFonts w:hint="eastAsia" w:ascii="宋体" w:hAnsi="宋体" w:eastAsia="宋体" w:cs="宋体"/>
                <w:sz w:val="24"/>
                <w:szCs w:val="24"/>
              </w:rPr>
              <w:t>12</w:t>
            </w:r>
          </w:p>
        </w:tc>
        <w:tc>
          <w:tcPr>
            <w:tcW w:w="2170"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LED提示灯</w:t>
            </w:r>
          </w:p>
        </w:tc>
        <w:tc>
          <w:tcPr>
            <w:tcW w:w="5195" w:type="dxa"/>
            <w:vAlign w:val="center"/>
          </w:tcPr>
          <w:p>
            <w:pPr>
              <w:snapToGrid w:val="0"/>
              <w:spacing w:line="240" w:lineRule="auto"/>
              <w:jc w:val="left"/>
              <w:rPr>
                <w:rFonts w:ascii="宋体" w:hAnsi="宋体" w:eastAsia="宋体" w:cs="宋体"/>
                <w:sz w:val="24"/>
                <w:szCs w:val="24"/>
              </w:rPr>
            </w:pPr>
            <w:r>
              <w:rPr>
                <w:rFonts w:hint="eastAsia" w:ascii="宋体" w:hAnsi="宋体" w:eastAsia="宋体" w:cs="宋体"/>
                <w:sz w:val="24"/>
                <w:szCs w:val="24"/>
              </w:rPr>
              <w:t>红黄绿三色提示灯</w:t>
            </w:r>
          </w:p>
        </w:tc>
      </w:tr>
    </w:tbl>
    <w:p>
      <w:pPr>
        <w:spacing w:after="0" w:line="360" w:lineRule="auto"/>
        <w:rPr>
          <w:rFonts w:ascii="宋体" w:hAnsi="宋体" w:eastAsia="宋体" w:cs="宋体"/>
          <w:b/>
          <w:kern w:val="0"/>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(十二) 物联网AP基站</w:t>
      </w:r>
      <w:bookmarkEnd w:id="7"/>
      <w:bookmarkEnd w:id="8"/>
      <w:r>
        <w:rPr>
          <w:rFonts w:hint="eastAsia" w:ascii="宋体" w:hAnsi="宋体" w:eastAsia="宋体" w:cs="宋体"/>
          <w:b/>
          <w:kern w:val="0"/>
          <w:sz w:val="24"/>
          <w:szCs w:val="24"/>
        </w:rPr>
        <w:t>（90台）</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64" w:type="dxa"/>
            <w:shd w:val="clear" w:color="auto" w:fill="EDEDED" w:themeFill="accent3" w:themeFillTint="32"/>
          </w:tcPr>
          <w:p>
            <w:pPr>
              <w:pStyle w:val="11"/>
              <w:spacing w:after="0" w:line="240" w:lineRule="auto"/>
              <w:ind w:firstLine="0" w:firstLineChars="0"/>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1</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sz w:val="24"/>
                <w:szCs w:val="24"/>
              </w:rPr>
              <w:t>网络配置：2T2R 300Mbps 10/100M 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2</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POE：</w:t>
            </w:r>
            <w:r>
              <w:rPr>
                <w:rFonts w:hint="eastAsia" w:ascii="宋体" w:hAnsi="宋体" w:eastAsia="宋体" w:cs="宋体"/>
                <w:bCs/>
                <w:sz w:val="24"/>
                <w:szCs w:val="24"/>
              </w:rPr>
              <w:t>IEEE802.3af,48V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3</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传输频率：</w:t>
            </w:r>
            <w:r>
              <w:rPr>
                <w:rFonts w:hint="eastAsia" w:ascii="宋体" w:hAnsi="宋体" w:eastAsia="宋体" w:cs="宋体"/>
                <w:bCs/>
                <w:sz w:val="24"/>
                <w:szCs w:val="24"/>
              </w:rPr>
              <w:t>Bluetooth-BLE,2.4GHz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4</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kern w:val="0"/>
                <w:sz w:val="24"/>
                <w:szCs w:val="24"/>
              </w:rPr>
              <w:t>工作温度：</w:t>
            </w:r>
            <w:r>
              <w:rPr>
                <w:rFonts w:hint="eastAsia" w:ascii="宋体" w:hAnsi="宋体" w:eastAsia="宋体" w:cs="宋体"/>
                <w:bCs/>
                <w:sz w:val="24"/>
                <w:szCs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5</w:t>
            </w:r>
          </w:p>
        </w:tc>
        <w:tc>
          <w:tcPr>
            <w:tcW w:w="7464" w:type="dxa"/>
            <w:vAlign w:val="center"/>
          </w:tcPr>
          <w:p>
            <w:pPr>
              <w:widowControl/>
              <w:spacing w:after="0" w:line="240" w:lineRule="auto"/>
              <w:jc w:val="left"/>
              <w:rPr>
                <w:rFonts w:ascii="宋体" w:hAnsi="宋体" w:eastAsia="宋体" w:cs="宋体"/>
                <w:bCs/>
                <w:kern w:val="0"/>
                <w:sz w:val="24"/>
                <w:szCs w:val="24"/>
              </w:rPr>
            </w:pPr>
            <w:r>
              <w:rPr>
                <w:rFonts w:hint="eastAsia" w:ascii="宋体" w:hAnsi="宋体" w:eastAsia="宋体" w:cs="宋体"/>
                <w:bCs/>
                <w:sz w:val="24"/>
                <w:szCs w:val="24"/>
              </w:rPr>
              <w:t>存储温度：-10℃~65℃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6" w:type="dxa"/>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6</w:t>
            </w:r>
          </w:p>
        </w:tc>
        <w:tc>
          <w:tcPr>
            <w:tcW w:w="7464" w:type="dxa"/>
            <w:vAlign w:val="center"/>
          </w:tcPr>
          <w:p>
            <w:pPr>
              <w:widowControl/>
              <w:spacing w:after="0" w:line="240" w:lineRule="auto"/>
              <w:jc w:val="left"/>
              <w:rPr>
                <w:rFonts w:ascii="宋体" w:hAnsi="宋体" w:eastAsia="宋体" w:cs="宋体"/>
                <w:bCs/>
                <w:sz w:val="24"/>
                <w:szCs w:val="24"/>
              </w:rPr>
            </w:pPr>
            <w:r>
              <w:rPr>
                <w:rFonts w:hint="eastAsia" w:ascii="宋体" w:hAnsi="宋体" w:eastAsia="宋体" w:cs="宋体"/>
                <w:bCs/>
                <w:sz w:val="24"/>
                <w:szCs w:val="24"/>
              </w:rPr>
              <w:t>通讯协议：Bob-w-ap</w:t>
            </w:r>
          </w:p>
        </w:tc>
      </w:tr>
    </w:tbl>
    <w:p>
      <w:pPr>
        <w:pStyle w:val="5"/>
        <w:spacing w:after="0"/>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(十三) 交换机（22台）</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序号</w:t>
            </w:r>
          </w:p>
        </w:tc>
        <w:tc>
          <w:tcPr>
            <w:tcW w:w="7487" w:type="dxa"/>
            <w:shd w:val="clear" w:color="auto" w:fill="EDEDED" w:themeFill="accent3" w:themeFillTint="32"/>
          </w:tcPr>
          <w:p>
            <w:pPr>
              <w:pStyle w:val="11"/>
              <w:spacing w:after="0" w:line="240" w:lineRule="auto"/>
              <w:ind w:firstLine="0" w:firstLineChars="0"/>
              <w:jc w:val="center"/>
              <w:rPr>
                <w:rFonts w:ascii="宋体" w:hAnsi="宋体" w:eastAsia="宋体" w:cs="宋体"/>
                <w:bCs/>
                <w:sz w:val="24"/>
              </w:rPr>
            </w:pPr>
            <w:r>
              <w:rPr>
                <w:rFonts w:hint="eastAsia" w:ascii="宋体" w:hAnsi="宋体" w:eastAsia="宋体" w:cs="宋体"/>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1</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规格属性48口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2</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交换容量240Gbs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3</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包转发率78MPPS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4</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管理端口1个console口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5</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48*10/100/1000 Base-T以太网端口,4*1000 Base-x SFP 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6</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功耗≤41W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7</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重量≤3.5KG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5" w:type="dxa"/>
          </w:tcPr>
          <w:p>
            <w:pPr>
              <w:spacing w:after="0" w:line="240" w:lineRule="auto"/>
              <w:ind w:firstLine="425"/>
              <w:rPr>
                <w:rFonts w:ascii="宋体" w:hAnsi="宋体" w:eastAsia="宋体" w:cs="宋体"/>
                <w:sz w:val="24"/>
                <w:szCs w:val="24"/>
              </w:rPr>
            </w:pPr>
            <w:r>
              <w:rPr>
                <w:rFonts w:hint="eastAsia" w:ascii="宋体" w:hAnsi="宋体" w:eastAsia="宋体" w:cs="宋体"/>
                <w:sz w:val="24"/>
                <w:szCs w:val="24"/>
              </w:rPr>
              <w:t>8</w:t>
            </w:r>
          </w:p>
        </w:tc>
        <w:tc>
          <w:tcPr>
            <w:tcW w:w="7487" w:type="dxa"/>
          </w:tcPr>
          <w:p>
            <w:pPr>
              <w:spacing w:after="0" w:line="240" w:lineRule="auto"/>
              <w:ind w:firstLine="0"/>
              <w:jc w:val="left"/>
              <w:rPr>
                <w:rFonts w:ascii="宋体" w:hAnsi="宋体" w:eastAsia="宋体" w:cs="宋体"/>
                <w:sz w:val="24"/>
                <w:szCs w:val="24"/>
              </w:rPr>
            </w:pPr>
            <w:r>
              <w:rPr>
                <w:rFonts w:hint="eastAsia" w:ascii="宋体" w:hAnsi="宋体" w:eastAsia="宋体" w:cs="宋体"/>
                <w:sz w:val="24"/>
                <w:szCs w:val="24"/>
              </w:rPr>
              <w:t>输入电压AC:100-240v;50/60HZ</w:t>
            </w:r>
          </w:p>
        </w:tc>
      </w:tr>
    </w:tbl>
    <w:p>
      <w:pPr>
        <w:spacing w:after="0" w:line="360" w:lineRule="auto"/>
        <w:rPr>
          <w:rFonts w:ascii="宋体" w:hAnsi="宋体" w:eastAsia="宋体" w:cs="宋体"/>
          <w:sz w:val="24"/>
          <w:szCs w:val="24"/>
        </w:rPr>
      </w:pPr>
    </w:p>
    <w:p>
      <w:pPr>
        <w:spacing w:after="0" w:line="360" w:lineRule="auto"/>
        <w:rPr>
          <w:rFonts w:ascii="宋体" w:hAnsi="宋体" w:eastAsia="宋体" w:cs="宋体"/>
          <w:b/>
          <w:kern w:val="0"/>
          <w:sz w:val="24"/>
          <w:szCs w:val="24"/>
        </w:rPr>
      </w:pPr>
      <w:r>
        <w:rPr>
          <w:rFonts w:hint="eastAsia" w:ascii="宋体" w:hAnsi="宋体" w:eastAsia="宋体" w:cs="宋体"/>
          <w:b/>
          <w:kern w:val="0"/>
          <w:sz w:val="24"/>
          <w:szCs w:val="24"/>
        </w:rPr>
        <w:t>二、服务方式要求</w:t>
      </w:r>
    </w:p>
    <w:p>
      <w:pPr>
        <w:pStyle w:val="10"/>
        <w:spacing w:after="0" w:line="360" w:lineRule="auto"/>
        <w:ind w:firstLine="0" w:firstLineChars="0"/>
        <w:rPr>
          <w:rFonts w:ascii="宋体" w:hAnsi="宋体" w:eastAsia="宋体" w:cs="宋体"/>
          <w:szCs w:val="24"/>
        </w:rPr>
      </w:pPr>
      <w:r>
        <w:rPr>
          <w:rFonts w:hint="eastAsia" w:ascii="宋体" w:hAnsi="宋体" w:eastAsia="宋体" w:cs="宋体"/>
          <w:szCs w:val="24"/>
        </w:rPr>
        <w:t>1、有研发能力的驻场工程师1名，实施工程师1名，具备3年以上三级医院维护经验，提供5*8小时驻场服务，完成日常维护工作，并有能力现场协调配合完成科室的需求改进。</w:t>
      </w:r>
    </w:p>
    <w:p>
      <w:pPr>
        <w:pStyle w:val="10"/>
        <w:spacing w:after="0" w:line="360" w:lineRule="auto"/>
        <w:ind w:firstLine="0" w:firstLineChars="0"/>
        <w:rPr>
          <w:rFonts w:ascii="宋体" w:hAnsi="宋体" w:eastAsia="宋体" w:cs="宋体"/>
          <w:szCs w:val="24"/>
        </w:rPr>
      </w:pPr>
      <w:r>
        <w:rPr>
          <w:rFonts w:hint="eastAsia" w:ascii="宋体" w:hAnsi="宋体" w:eastAsia="宋体" w:cs="宋体"/>
          <w:szCs w:val="24"/>
        </w:rPr>
        <w:t>2、提供7*24小时系统维护服务，有处理应急事件能力，必要时须1小时内到达现场处理问题。</w:t>
      </w:r>
    </w:p>
    <w:p>
      <w:pPr>
        <w:pStyle w:val="10"/>
        <w:spacing w:after="0" w:line="360" w:lineRule="auto"/>
        <w:ind w:firstLine="0" w:firstLineChars="0"/>
        <w:rPr>
          <w:rFonts w:ascii="宋体" w:hAnsi="宋体" w:eastAsia="宋体" w:cs="宋体"/>
          <w:szCs w:val="24"/>
        </w:rPr>
      </w:pPr>
      <w:r>
        <w:rPr>
          <w:rFonts w:hint="eastAsia" w:ascii="宋体" w:hAnsi="宋体" w:eastAsia="宋体" w:cs="宋体"/>
          <w:szCs w:val="24"/>
        </w:rPr>
        <w:t>3、遇病床分机、病房门口机、护士站主机、护士站白板等其他硬件损坏或需要更换电池时，须保证18小时内上门，24小时内解决相关硬件故障。</w:t>
      </w:r>
    </w:p>
    <w:p>
      <w:pPr>
        <w:pStyle w:val="2"/>
        <w:ind w:firstLine="0" w:firstLineChars="0"/>
        <w:rPr>
          <w:rFonts w:ascii="宋体" w:hAnsi="宋体" w:cs="宋体"/>
          <w:kern w:val="2"/>
          <w:szCs w:val="24"/>
        </w:rPr>
      </w:pPr>
      <w:r>
        <w:rPr>
          <w:rFonts w:hint="eastAsia" w:ascii="宋体" w:hAnsi="宋体" w:cs="宋体"/>
          <w:kern w:val="2"/>
          <w:szCs w:val="24"/>
        </w:rPr>
        <w:t>4、软件使用期间内免费提供软件升级服务,免费开放接口,全部软件源代码归属甲方所有。</w:t>
      </w:r>
    </w:p>
    <w:p>
      <w:pPr/>
      <w:r>
        <w:rPr>
          <w:rFonts w:hint="eastAsia" w:ascii="宋体" w:hAnsi="宋体" w:cs="宋体"/>
          <w:color w:val="333333"/>
          <w:szCs w:val="24"/>
          <w:shd w:val="clear" w:color="auto" w:fill="FFFFFF"/>
        </w:rPr>
        <w:t>*5</w:t>
      </w:r>
      <w:r>
        <w:rPr>
          <w:rFonts w:hint="eastAsia" w:ascii="宋体" w:hAnsi="宋体" w:cs="宋体"/>
          <w:kern w:val="2"/>
          <w:szCs w:val="24"/>
        </w:rPr>
        <w:t>、该项目内包含的所有软件须免费提供新增病区拓展（崇文门院区及亦庄院区（含感染楼））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EFF" w:usb1="C000785B" w:usb2="00000009" w:usb3="00000000" w:csb0="400001FF" w:csb1="FFFF0000"/>
  </w:font>
  <w:font w:name="黑体">
    <w:panose1 w:val="02010609060101010101"/>
    <w:charset w:val="86"/>
    <w:family w:val="roma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roman"/>
    <w:pitch w:val="default"/>
    <w:sig w:usb0="E0002EFF" w:usb1="C0007843" w:usb2="00000009" w:usb3="00000000" w:csb0="400001FF" w:csb1="FFFF0000"/>
  </w:font>
  <w:font w:name="Segoe UI">
    <w:panose1 w:val="020B0502040204020203"/>
    <w:charset w:val="00"/>
    <w:family w:val="modern"/>
    <w:pitch w:val="default"/>
    <w:sig w:usb0="E4002EFF" w:usb1="C000E47F" w:usb2="00000009" w:usb3="00000000" w:csb0="200001FF" w:csb1="00000000"/>
  </w:font>
  <w:font w:name="经典粗黑简">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roman"/>
    <w:pitch w:val="default"/>
    <w:sig w:usb0="E4002EFF" w:usb1="C000E47F" w:usb2="00000009" w:usb3="00000000" w:csb0="200001FF" w:csb1="00000000"/>
  </w:font>
  <w:font w:name="经典粗黑简">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经典粗黑简">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经典粗黑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decorative"/>
    <w:pitch w:val="default"/>
    <w:sig w:usb0="E4002EFF" w:usb1="C000E47F" w:usb2="00000009" w:usb3="00000000" w:csb0="200001F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3613735">
    <w:nsid w:val="560BCC27"/>
    <w:multiLevelType w:val="singleLevel"/>
    <w:tmpl w:val="560BCC27"/>
    <w:lvl w:ilvl="0" w:tentative="1">
      <w:start w:val="1"/>
      <w:numFmt w:val="decimal"/>
      <w:lvlText w:val="%1)"/>
      <w:lvlJc w:val="left"/>
      <w:pPr>
        <w:ind w:left="425" w:hanging="425"/>
      </w:pPr>
      <w:rPr>
        <w:rFonts w:hint="default"/>
      </w:rPr>
    </w:lvl>
  </w:abstractNum>
  <w:abstractNum w:abstractNumId="930103234">
    <w:nsid w:val="37703FC2"/>
    <w:multiLevelType w:val="singleLevel"/>
    <w:tmpl w:val="37703FC2"/>
    <w:lvl w:ilvl="0" w:tentative="1">
      <w:start w:val="1"/>
      <w:numFmt w:val="decimal"/>
      <w:lvlText w:val="%1)"/>
      <w:lvlJc w:val="left"/>
      <w:pPr>
        <w:ind w:left="425" w:hanging="425"/>
      </w:pPr>
      <w:rPr>
        <w:rFonts w:hint="default"/>
      </w:rPr>
    </w:lvl>
  </w:abstractNum>
  <w:abstractNum w:abstractNumId="1306162749">
    <w:nsid w:val="4DDA763D"/>
    <w:multiLevelType w:val="singleLevel"/>
    <w:tmpl w:val="4DDA763D"/>
    <w:lvl w:ilvl="0" w:tentative="1">
      <w:start w:val="1"/>
      <w:numFmt w:val="decimalEnclosedCircleChinese"/>
      <w:suff w:val="nothing"/>
      <w:lvlText w:val="%1　"/>
      <w:lvlJc w:val="left"/>
      <w:pPr>
        <w:ind w:left="0" w:firstLine="400"/>
      </w:pPr>
      <w:rPr>
        <w:rFonts w:hint="eastAsia"/>
      </w:rPr>
    </w:lvl>
  </w:abstractNum>
  <w:abstractNum w:abstractNumId="2445529383">
    <w:nsid w:val="91C3D127"/>
    <w:multiLevelType w:val="singleLevel"/>
    <w:tmpl w:val="91C3D127"/>
    <w:lvl w:ilvl="0" w:tentative="1">
      <w:start w:val="1"/>
      <w:numFmt w:val="decimal"/>
      <w:lvlText w:val="%1)"/>
      <w:lvlJc w:val="left"/>
      <w:pPr>
        <w:ind w:left="425" w:hanging="425"/>
      </w:pPr>
      <w:rPr>
        <w:rFonts w:hint="default"/>
      </w:rPr>
    </w:lvl>
  </w:abstractNum>
  <w:abstractNum w:abstractNumId="3826621156">
    <w:nsid w:val="E4159AE4"/>
    <w:multiLevelType w:val="singleLevel"/>
    <w:tmpl w:val="E4159AE4"/>
    <w:lvl w:ilvl="0" w:tentative="1">
      <w:start w:val="1"/>
      <w:numFmt w:val="decimalEnclosedCircleChinese"/>
      <w:suff w:val="nothing"/>
      <w:lvlText w:val="%1　"/>
      <w:lvlJc w:val="left"/>
      <w:pPr>
        <w:ind w:left="0" w:firstLine="400"/>
      </w:pPr>
      <w:rPr>
        <w:rFonts w:hint="eastAsia"/>
      </w:rPr>
    </w:lvl>
  </w:abstractNum>
  <w:abstractNum w:abstractNumId="1689284392">
    <w:nsid w:val="64B06F28"/>
    <w:multiLevelType w:val="multilevel"/>
    <w:tmpl w:val="64B06F28"/>
    <w:lvl w:ilvl="0" w:tentative="1">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4164620669">
    <w:nsid w:val="F83B117D"/>
    <w:multiLevelType w:val="singleLevel"/>
    <w:tmpl w:val="F83B117D"/>
    <w:lvl w:ilvl="0" w:tentative="1">
      <w:start w:val="1"/>
      <w:numFmt w:val="decimalEnclosedCircleChinese"/>
      <w:suff w:val="nothing"/>
      <w:lvlText w:val="%1　"/>
      <w:lvlJc w:val="left"/>
      <w:pPr>
        <w:ind w:left="0" w:firstLine="400"/>
      </w:pPr>
      <w:rPr>
        <w:rFonts w:hint="eastAsia"/>
      </w:rPr>
    </w:lvl>
  </w:abstractNum>
  <w:abstractNum w:abstractNumId="298087510">
    <w:nsid w:val="11C47456"/>
    <w:multiLevelType w:val="singleLevel"/>
    <w:tmpl w:val="11C47456"/>
    <w:lvl w:ilvl="0" w:tentative="1">
      <w:start w:val="1"/>
      <w:numFmt w:val="decimalEnclosedCircleChinese"/>
      <w:suff w:val="nothing"/>
      <w:lvlText w:val="%1　"/>
      <w:lvlJc w:val="left"/>
      <w:pPr>
        <w:ind w:left="0" w:firstLine="400"/>
      </w:pPr>
      <w:rPr>
        <w:rFonts w:hint="eastAsia"/>
      </w:rPr>
    </w:lvl>
  </w:abstractNum>
  <w:abstractNum w:abstractNumId="4023665236">
    <w:nsid w:val="EFD44254"/>
    <w:multiLevelType w:val="singleLevel"/>
    <w:tmpl w:val="EFD44254"/>
    <w:lvl w:ilvl="0" w:tentative="1">
      <w:start w:val="1"/>
      <w:numFmt w:val="decimal"/>
      <w:lvlText w:val="(%1)"/>
      <w:lvlJc w:val="left"/>
      <w:pPr>
        <w:ind w:left="425" w:hanging="425"/>
      </w:pPr>
      <w:rPr>
        <w:rFonts w:hint="default"/>
      </w:rPr>
    </w:lvl>
  </w:abstractNum>
  <w:abstractNum w:abstractNumId="4206791020">
    <w:nsid w:val="FABE896C"/>
    <w:multiLevelType w:val="singleLevel"/>
    <w:tmpl w:val="FABE896C"/>
    <w:lvl w:ilvl="0" w:tentative="1">
      <w:start w:val="1"/>
      <w:numFmt w:val="decimalEnclosedCircleChinese"/>
      <w:suff w:val="nothing"/>
      <w:lvlText w:val="%1　"/>
      <w:lvlJc w:val="left"/>
      <w:pPr>
        <w:ind w:left="0" w:firstLine="400"/>
      </w:pPr>
      <w:rPr>
        <w:rFonts w:hint="eastAsia"/>
      </w:rPr>
    </w:lvl>
  </w:abstractNum>
  <w:abstractNum w:abstractNumId="3468820158">
    <w:nsid w:val="CEC1FEBE"/>
    <w:multiLevelType w:val="singleLevel"/>
    <w:tmpl w:val="CEC1FEBE"/>
    <w:lvl w:ilvl="0" w:tentative="1">
      <w:start w:val="1"/>
      <w:numFmt w:val="decimal"/>
      <w:lvlText w:val="%1)"/>
      <w:lvlJc w:val="left"/>
      <w:pPr>
        <w:ind w:left="425" w:hanging="425"/>
      </w:pPr>
      <w:rPr>
        <w:rFonts w:hint="default"/>
      </w:rPr>
    </w:lvl>
  </w:abstractNum>
  <w:abstractNum w:abstractNumId="1487150295">
    <w:nsid w:val="58A41CD7"/>
    <w:multiLevelType w:val="singleLevel"/>
    <w:tmpl w:val="58A41CD7"/>
    <w:lvl w:ilvl="0" w:tentative="1">
      <w:start w:val="1"/>
      <w:numFmt w:val="decimal"/>
      <w:suff w:val="nothing"/>
      <w:lvlText w:val="%1."/>
      <w:lvlJc w:val="left"/>
    </w:lvl>
  </w:abstractNum>
  <w:abstractNum w:abstractNumId="1471506834">
    <w:nsid w:val="57B56992"/>
    <w:multiLevelType w:val="singleLevel"/>
    <w:tmpl w:val="57B56992"/>
    <w:lvl w:ilvl="0" w:tentative="1">
      <w:start w:val="1"/>
      <w:numFmt w:val="decimal"/>
      <w:suff w:val="nothing"/>
      <w:lvlText w:val="%1."/>
      <w:lvlJc w:val="left"/>
    </w:lvl>
  </w:abstractNum>
  <w:abstractNum w:abstractNumId="1487150174">
    <w:nsid w:val="58A41C5E"/>
    <w:multiLevelType w:val="singleLevel"/>
    <w:tmpl w:val="58A41C5E"/>
    <w:lvl w:ilvl="0" w:tentative="1">
      <w:start w:val="1"/>
      <w:numFmt w:val="decimal"/>
      <w:suff w:val="nothing"/>
      <w:lvlText w:val="%1."/>
      <w:lvlJc w:val="left"/>
    </w:lvl>
  </w:abstractNum>
  <w:abstractNum w:abstractNumId="3702262222">
    <w:nsid w:val="DCAC09CE"/>
    <w:multiLevelType w:val="singleLevel"/>
    <w:tmpl w:val="DCAC09CE"/>
    <w:lvl w:ilvl="0" w:tentative="1">
      <w:start w:val="1"/>
      <w:numFmt w:val="decimal"/>
      <w:suff w:val="nothing"/>
      <w:lvlText w:val="%1、"/>
      <w:lvlJc w:val="left"/>
    </w:lvl>
  </w:abstractNum>
  <w:abstractNum w:abstractNumId="1861046606">
    <w:nsid w:val="6EED514E"/>
    <w:multiLevelType w:val="multilevel"/>
    <w:tmpl w:val="6EED514E"/>
    <w:lvl w:ilvl="0" w:tentative="1">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69514400">
    <w:nsid w:val="1BFC38A0"/>
    <w:multiLevelType w:val="multilevel"/>
    <w:tmpl w:val="1BFC38A0"/>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86299739">
    <w:nsid w:val="52A1415B"/>
    <w:multiLevelType w:val="multilevel"/>
    <w:tmpl w:val="52A1415B"/>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469514400"/>
  </w:num>
  <w:num w:numId="2">
    <w:abstractNumId w:val="1386299739"/>
  </w:num>
  <w:num w:numId="3">
    <w:abstractNumId w:val="1861046606"/>
  </w:num>
  <w:num w:numId="4">
    <w:abstractNumId w:val="1471506834"/>
  </w:num>
  <w:num w:numId="5">
    <w:abstractNumId w:val="1487150174"/>
  </w:num>
  <w:num w:numId="6">
    <w:abstractNumId w:val="1487150295"/>
  </w:num>
  <w:num w:numId="7">
    <w:abstractNumId w:val="3702262222"/>
  </w:num>
  <w:num w:numId="8">
    <w:abstractNumId w:val="1443613735"/>
  </w:num>
  <w:num w:numId="9">
    <w:abstractNumId w:val="930103234"/>
  </w:num>
  <w:num w:numId="10">
    <w:abstractNumId w:val="2445529383"/>
  </w:num>
  <w:num w:numId="11">
    <w:abstractNumId w:val="1306162749"/>
  </w:num>
  <w:num w:numId="12">
    <w:abstractNumId w:val="3826621156"/>
  </w:num>
  <w:num w:numId="13">
    <w:abstractNumId w:val="4206791020"/>
  </w:num>
  <w:num w:numId="14">
    <w:abstractNumId w:val="3468820158"/>
  </w:num>
  <w:num w:numId="15">
    <w:abstractNumId w:val="1689284392"/>
  </w:num>
  <w:num w:numId="16">
    <w:abstractNumId w:val="298087510"/>
  </w:num>
  <w:num w:numId="17">
    <w:abstractNumId w:val="4164620669"/>
  </w:num>
  <w:num w:numId="18">
    <w:abstractNumId w:val="4023665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250BC"/>
    <w:rsid w:val="6BC250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5">
    <w:name w:val="Body Text"/>
    <w:basedOn w:val="1"/>
    <w:uiPriority w:val="0"/>
    <w:pPr>
      <w:spacing w:after="120"/>
    </w:pPr>
    <w:rPr>
      <w:rFonts w:ascii="等线" w:hAnsi="等线" w:eastAsia="等线" w:cs="Times New Roman"/>
    </w:rPr>
  </w:style>
  <w:style w:type="table" w:styleId="8">
    <w:name w:val="Table Grid"/>
    <w:basedOn w:val="7"/>
    <w:uiPriority w:val="0"/>
    <w:pPr>
      <w:widowControl w:val="0"/>
      <w:spacing w:line="360" w:lineRule="auto"/>
      <w:ind w:firstLine="425"/>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正文3"/>
    <w:qFormat/>
    <w:uiPriority w:val="0"/>
    <w:pPr>
      <w:spacing w:after="160" w:line="259" w:lineRule="auto"/>
      <w:jc w:val="both"/>
    </w:pPr>
    <w:rPr>
      <w:rFonts w:ascii="Calibri" w:hAnsi="Calibri" w:eastAsia="宋体" w:cs="Times New Roman"/>
      <w:kern w:val="2"/>
      <w:sz w:val="21"/>
      <w:szCs w:val="21"/>
      <w:lang w:val="en-US" w:eastAsia="zh-CN" w:bidi="ar-SA"/>
    </w:rPr>
  </w:style>
  <w:style w:type="paragraph" w:customStyle="1" w:styleId="10">
    <w:name w:val="列出段落4"/>
    <w:basedOn w:val="1"/>
    <w:qFormat/>
    <w:uiPriority w:val="34"/>
    <w:pPr>
      <w:ind w:firstLine="420" w:firstLineChars="200"/>
    </w:pPr>
    <w:rPr>
      <w:rFonts w:ascii="Cambria" w:hAnsi="Cambria" w:cs="Times New Roman"/>
      <w:sz w:val="24"/>
    </w:rPr>
  </w:style>
  <w:style w:type="paragraph" w:customStyle="1" w:styleId="11">
    <w:name w:val="列出段落2"/>
    <w:basedOn w:val="1"/>
    <w:qFormat/>
    <w:uiPriority w:val="34"/>
    <w:pPr>
      <w:ind w:firstLine="420" w:firstLineChars="200"/>
    </w:pPr>
    <w:rPr>
      <w:szCs w:val="24"/>
    </w:rPr>
  </w:style>
  <w:style w:type="paragraph" w:customStyle="1" w:styleId="12">
    <w:name w:val="列出段落41"/>
    <w:basedOn w:val="1"/>
    <w:qFormat/>
    <w:uiPriority w:val="34"/>
    <w:pPr>
      <w:ind w:firstLine="420" w:firstLineChars="200"/>
    </w:pPr>
    <w:rPr>
      <w:rFonts w:ascii="Calibri" w:hAnsi="Calibri" w:cs="Times New Roman"/>
      <w:szCs w:val="21"/>
    </w:rPr>
  </w:style>
  <w:style w:type="character" w:customStyle="1" w:styleId="13">
    <w:name w:val="font21"/>
    <w:basedOn w:val="6"/>
    <w:qFormat/>
    <w:uiPriority w:val="0"/>
    <w:rPr>
      <w:rFonts w:hint="eastAsia" w:ascii="宋体" w:hAnsi="宋体" w:eastAsia="宋体" w:cs="宋体"/>
      <w:color w:val="000000"/>
      <w:sz w:val="24"/>
      <w:szCs w:val="24"/>
      <w:u w:val="none"/>
    </w:rPr>
  </w:style>
  <w:style w:type="paragraph" w:customStyle="1" w:styleId="14">
    <w:name w:val="无间隔1"/>
    <w:qFormat/>
    <w:uiPriority w:val="0"/>
    <w:pPr>
      <w:widowControl w:val="0"/>
      <w:jc w:val="center"/>
    </w:pPr>
    <w:rPr>
      <w:rFonts w:ascii="Times New Roman"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2021-04-08T04:32:00Z</dcterms:created>
  <dc:creator>张珊</dc:creator>
  <cp:lastModifiedBy>张珊</cp:lastModifiedBy>
  <dcterms:modified xsi:type="dcterms:W3CDTF">2021-04-08T04:32:44Z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